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63DA667" w14:textId="2BDA0137" w:rsidR="00122FE9" w:rsidRDefault="00122FE9" w:rsidP="00122FE9">
      <w:pPr>
        <w:rPr>
          <w:rFonts w:ascii="Arial" w:hAnsi="Arial"/>
          <w:sz w:val="40"/>
          <w:szCs w:val="40"/>
        </w:rPr>
      </w:pPr>
      <w:r>
        <w:rPr>
          <w:rFonts w:ascii="Arial" w:hAnsi="Arial"/>
          <w:sz w:val="40"/>
          <w:szCs w:val="40"/>
        </w:rPr>
        <w:t>Jean Teitgen</w:t>
      </w:r>
    </w:p>
    <w:p w14:paraId="46863DE2" w14:textId="08CE5687" w:rsidR="00122FE9" w:rsidRPr="00122FE9" w:rsidRDefault="00122FE9" w:rsidP="00122FE9">
      <w:r>
        <w:rPr>
          <w:rFonts w:ascii="Arial" w:hAnsi="Arial"/>
          <w:sz w:val="34"/>
          <w:szCs w:val="34"/>
        </w:rPr>
        <w:t>Bass</w:t>
      </w:r>
    </w:p>
    <w:p w14:paraId="4601D200" w14:textId="77777777" w:rsidR="00C42BE0" w:rsidRDefault="00C42BE0" w:rsidP="00C42BE0">
      <w:pPr>
        <w:pStyle w:val="NormalWeb"/>
        <w:spacing w:line="300" w:lineRule="atLeast"/>
        <w:rPr>
          <w:rFonts w:ascii="Segoe UI" w:hAnsi="Segoe UI" w:cs="Segoe UI"/>
          <w:sz w:val="21"/>
          <w:szCs w:val="21"/>
        </w:rPr>
      </w:pPr>
      <w:r>
        <w:rPr>
          <w:rFonts w:ascii="Segoe UI" w:hAnsi="Segoe UI" w:cs="Segoe UI"/>
          <w:sz w:val="21"/>
          <w:szCs w:val="21"/>
        </w:rPr>
        <w:t>French bass Jean Teitgen is acclaimed for his resonant timbre, musical intelligence and exceptional stage presence, qualities that have made him a sought-after interpreter of profound and psychologically complex roles on the opera stage. Among these, his portrayals of Arkel (</w:t>
      </w:r>
      <w:r>
        <w:rPr>
          <w:rStyle w:val="Emphasis"/>
          <w:rFonts w:ascii="Segoe UI" w:hAnsi="Segoe UI" w:cs="Segoe UI"/>
          <w:sz w:val="21"/>
          <w:szCs w:val="21"/>
        </w:rPr>
        <w:t>Pelléas et Mélisande</w:t>
      </w:r>
      <w:r>
        <w:rPr>
          <w:rFonts w:ascii="Segoe UI" w:hAnsi="Segoe UI" w:cs="Segoe UI"/>
          <w:sz w:val="21"/>
          <w:szCs w:val="21"/>
        </w:rPr>
        <w:t>), most recently at Opéra national de Paris in Wajdi Mouawad’s new production, and the tyrannical Gessler (</w:t>
      </w:r>
      <w:r>
        <w:rPr>
          <w:rStyle w:val="Emphasis"/>
          <w:rFonts w:ascii="Segoe UI" w:hAnsi="Segoe UI" w:cs="Segoe UI"/>
          <w:sz w:val="21"/>
          <w:szCs w:val="21"/>
        </w:rPr>
        <w:t>Guillaume Tell</w:t>
      </w:r>
      <w:r>
        <w:rPr>
          <w:rFonts w:ascii="Segoe UI" w:hAnsi="Segoe UI" w:cs="Segoe UI"/>
          <w:sz w:val="21"/>
          <w:szCs w:val="21"/>
        </w:rPr>
        <w:t>), which marked his debut at Wiener Staatsoper, stand out as signature achievements.</w:t>
      </w:r>
    </w:p>
    <w:p w14:paraId="4EE22018" w14:textId="77777777" w:rsidR="00C42BE0" w:rsidRDefault="00C42BE0" w:rsidP="00C42BE0">
      <w:pPr>
        <w:pStyle w:val="NormalWeb"/>
        <w:spacing w:line="300" w:lineRule="atLeast"/>
        <w:rPr>
          <w:rFonts w:ascii="Segoe UI" w:hAnsi="Segoe UI" w:cs="Segoe UI"/>
          <w:sz w:val="21"/>
          <w:szCs w:val="21"/>
        </w:rPr>
      </w:pPr>
      <w:r>
        <w:rPr>
          <w:rFonts w:ascii="Segoe UI" w:hAnsi="Segoe UI" w:cs="Segoe UI"/>
          <w:sz w:val="21"/>
          <w:szCs w:val="21"/>
        </w:rPr>
        <w:t xml:space="preserve">As part of his 2026/27 season, Jean Teitgen returns to Opéra national de Paris as Claudius in </w:t>
      </w:r>
      <w:r>
        <w:rPr>
          <w:rStyle w:val="Emphasis"/>
          <w:rFonts w:ascii="Segoe UI" w:hAnsi="Segoe UI" w:cs="Segoe UI"/>
          <w:sz w:val="21"/>
          <w:szCs w:val="21"/>
        </w:rPr>
        <w:t>Hamlet</w:t>
      </w:r>
      <w:r>
        <w:rPr>
          <w:rFonts w:ascii="Segoe UI" w:hAnsi="Segoe UI" w:cs="Segoe UI"/>
          <w:sz w:val="21"/>
          <w:szCs w:val="21"/>
        </w:rPr>
        <w:t xml:space="preserve">, conducted by Michael Schønwandt in Krzysztof Warlikowski’s production, and as Frère Laurent in </w:t>
      </w:r>
      <w:r>
        <w:rPr>
          <w:rStyle w:val="Emphasis"/>
          <w:rFonts w:ascii="Segoe UI" w:hAnsi="Segoe UI" w:cs="Segoe UI"/>
          <w:sz w:val="21"/>
          <w:szCs w:val="21"/>
        </w:rPr>
        <w:t>Roméo et Juliette</w:t>
      </w:r>
      <w:r>
        <w:rPr>
          <w:rFonts w:ascii="Segoe UI" w:hAnsi="Segoe UI" w:cs="Segoe UI"/>
          <w:sz w:val="21"/>
          <w:szCs w:val="21"/>
        </w:rPr>
        <w:t xml:space="preserve"> under Fabien Gabel. At Opéra national du Capitole de Toulouse, he sings his first Heinrich der Vogler in </w:t>
      </w:r>
      <w:r>
        <w:rPr>
          <w:rStyle w:val="Emphasis"/>
          <w:rFonts w:ascii="Segoe UI" w:hAnsi="Segoe UI" w:cs="Segoe UI"/>
          <w:sz w:val="21"/>
          <w:szCs w:val="21"/>
        </w:rPr>
        <w:t>Lohengrin</w:t>
      </w:r>
      <w:r>
        <w:rPr>
          <w:rFonts w:ascii="Segoe UI" w:hAnsi="Segoe UI" w:cs="Segoe UI"/>
          <w:sz w:val="21"/>
          <w:szCs w:val="21"/>
        </w:rPr>
        <w:t xml:space="preserve">, conducted by Michele Spotti, and makes two important house debuts: at the Metropolitan Opera as Le Comte des Grieux in Laurent Pelly’s production of </w:t>
      </w:r>
      <w:r>
        <w:rPr>
          <w:rStyle w:val="Emphasis"/>
          <w:rFonts w:ascii="Segoe UI" w:hAnsi="Segoe UI" w:cs="Segoe UI"/>
          <w:sz w:val="21"/>
          <w:szCs w:val="21"/>
        </w:rPr>
        <w:t>Manon</w:t>
      </w:r>
      <w:r>
        <w:rPr>
          <w:rFonts w:ascii="Segoe UI" w:hAnsi="Segoe UI" w:cs="Segoe UI"/>
          <w:sz w:val="21"/>
          <w:szCs w:val="21"/>
        </w:rPr>
        <w:t xml:space="preserve">, under Yves Abel, and at Staatsoper Unter den Linden as the High Priest in </w:t>
      </w:r>
      <w:r>
        <w:rPr>
          <w:rStyle w:val="Emphasis"/>
          <w:rFonts w:ascii="Segoe UI" w:hAnsi="Segoe UI" w:cs="Segoe UI"/>
          <w:sz w:val="21"/>
          <w:szCs w:val="21"/>
        </w:rPr>
        <w:t>La Vestale</w:t>
      </w:r>
      <w:r>
        <w:rPr>
          <w:rFonts w:ascii="Segoe UI" w:hAnsi="Segoe UI" w:cs="Segoe UI"/>
          <w:sz w:val="21"/>
          <w:szCs w:val="21"/>
        </w:rPr>
        <w:t xml:space="preserve"> under Giuseppe Mentuccia.</w:t>
      </w:r>
    </w:p>
    <w:p w14:paraId="53F6073E" w14:textId="77777777" w:rsidR="00C42BE0" w:rsidRDefault="00C42BE0" w:rsidP="00C42BE0">
      <w:pPr>
        <w:pStyle w:val="NormalWeb"/>
        <w:spacing w:line="300" w:lineRule="atLeast"/>
        <w:rPr>
          <w:rFonts w:ascii="Segoe UI" w:hAnsi="Segoe UI" w:cs="Segoe UI"/>
          <w:sz w:val="21"/>
          <w:szCs w:val="21"/>
        </w:rPr>
      </w:pPr>
      <w:r>
        <w:rPr>
          <w:rFonts w:ascii="Segoe UI" w:hAnsi="Segoe UI" w:cs="Segoe UI"/>
          <w:sz w:val="21"/>
          <w:szCs w:val="21"/>
        </w:rPr>
        <w:t>If his early career was built on bel canto and French lyric roles such as Raimondo (</w:t>
      </w:r>
      <w:r>
        <w:rPr>
          <w:rStyle w:val="Emphasis"/>
          <w:rFonts w:ascii="Segoe UI" w:hAnsi="Segoe UI" w:cs="Segoe UI"/>
          <w:sz w:val="21"/>
          <w:szCs w:val="21"/>
        </w:rPr>
        <w:t>Lucia di Lammermoor</w:t>
      </w:r>
      <w:r>
        <w:rPr>
          <w:rFonts w:ascii="Segoe UI" w:hAnsi="Segoe UI" w:cs="Segoe UI"/>
          <w:sz w:val="21"/>
          <w:szCs w:val="21"/>
        </w:rPr>
        <w:t>) at Opéra national de Bordeaux and Frère Laurent (</w:t>
      </w:r>
      <w:r>
        <w:rPr>
          <w:rStyle w:val="Emphasis"/>
          <w:rFonts w:ascii="Segoe UI" w:hAnsi="Segoe UI" w:cs="Segoe UI"/>
          <w:sz w:val="21"/>
          <w:szCs w:val="21"/>
        </w:rPr>
        <w:t>Roméo et Juliette</w:t>
      </w:r>
      <w:r>
        <w:rPr>
          <w:rFonts w:ascii="Segoe UI" w:hAnsi="Segoe UI" w:cs="Segoe UI"/>
          <w:sz w:val="21"/>
          <w:szCs w:val="21"/>
        </w:rPr>
        <w:t>) at Grand Théâtre de Genève, Opéra national de Paris, Opéra de Monte-Carlo and Teatro Real, he has since explored darker and more dramatic repertoire including Banquo (</w:t>
      </w:r>
      <w:r>
        <w:rPr>
          <w:rStyle w:val="Emphasis"/>
          <w:rFonts w:ascii="Segoe UI" w:hAnsi="Segoe UI" w:cs="Segoe UI"/>
          <w:sz w:val="21"/>
          <w:szCs w:val="21"/>
        </w:rPr>
        <w:t>Macbeth</w:t>
      </w:r>
      <w:r>
        <w:rPr>
          <w:rFonts w:ascii="Segoe UI" w:hAnsi="Segoe UI" w:cs="Segoe UI"/>
          <w:sz w:val="21"/>
          <w:szCs w:val="21"/>
        </w:rPr>
        <w:t>), Alvise (</w:t>
      </w:r>
      <w:r>
        <w:rPr>
          <w:rStyle w:val="Emphasis"/>
          <w:rFonts w:ascii="Segoe UI" w:hAnsi="Segoe UI" w:cs="Segoe UI"/>
          <w:sz w:val="21"/>
          <w:szCs w:val="21"/>
        </w:rPr>
        <w:t>La Gioconda</w:t>
      </w:r>
      <w:r>
        <w:rPr>
          <w:rFonts w:ascii="Segoe UI" w:hAnsi="Segoe UI" w:cs="Segoe UI"/>
          <w:sz w:val="21"/>
          <w:szCs w:val="21"/>
        </w:rPr>
        <w:t>) and Fiesco (</w:t>
      </w:r>
      <w:r>
        <w:rPr>
          <w:rStyle w:val="Emphasis"/>
          <w:rFonts w:ascii="Segoe UI" w:hAnsi="Segoe UI" w:cs="Segoe UI"/>
          <w:sz w:val="21"/>
          <w:szCs w:val="21"/>
        </w:rPr>
        <w:t>Simon Boccanegra</w:t>
      </w:r>
      <w:r>
        <w:rPr>
          <w:rFonts w:ascii="Segoe UI" w:hAnsi="Segoe UI" w:cs="Segoe UI"/>
          <w:sz w:val="21"/>
          <w:szCs w:val="21"/>
        </w:rPr>
        <w:t xml:space="preserve">). His Daland in </w:t>
      </w:r>
      <w:r>
        <w:rPr>
          <w:rStyle w:val="Emphasis"/>
          <w:rFonts w:ascii="Segoe UI" w:hAnsi="Segoe UI" w:cs="Segoe UI"/>
          <w:sz w:val="21"/>
          <w:szCs w:val="21"/>
        </w:rPr>
        <w:t>Der fliegende Holländer</w:t>
      </w:r>
      <w:r>
        <w:rPr>
          <w:rFonts w:ascii="Segoe UI" w:hAnsi="Segoe UI" w:cs="Segoe UI"/>
          <w:sz w:val="21"/>
          <w:szCs w:val="21"/>
        </w:rPr>
        <w:t xml:space="preserve"> marked his Wagnerian debut at Théâtre du Capitole, Toulouse, while he made his Salzburger Festspiele debut as Claudius, King of Denmark, in Ambroise Thomas’ </w:t>
      </w:r>
      <w:r>
        <w:rPr>
          <w:rStyle w:val="Emphasis"/>
          <w:rFonts w:ascii="Segoe UI" w:hAnsi="Segoe UI" w:cs="Segoe UI"/>
          <w:sz w:val="21"/>
          <w:szCs w:val="21"/>
        </w:rPr>
        <w:t>Hamlet</w:t>
      </w:r>
      <w:r>
        <w:rPr>
          <w:rFonts w:ascii="Segoe UI" w:hAnsi="Segoe UI" w:cs="Segoe UI"/>
          <w:sz w:val="21"/>
          <w:szCs w:val="21"/>
        </w:rPr>
        <w:t xml:space="preserve">. Further roles in repertoire include Sarastro in </w:t>
      </w:r>
      <w:r>
        <w:rPr>
          <w:rStyle w:val="Emphasis"/>
          <w:rFonts w:ascii="Segoe UI" w:hAnsi="Segoe UI" w:cs="Segoe UI"/>
          <w:sz w:val="21"/>
          <w:szCs w:val="21"/>
        </w:rPr>
        <w:t>Die Zauberflöte</w:t>
      </w:r>
      <w:r>
        <w:rPr>
          <w:rFonts w:ascii="Segoe UI" w:hAnsi="Segoe UI" w:cs="Segoe UI"/>
          <w:sz w:val="21"/>
          <w:szCs w:val="21"/>
        </w:rPr>
        <w:t xml:space="preserve">, which he recently sang in Paris and at Opéra national de Bordeaux, Luther and Crespel in </w:t>
      </w:r>
      <w:r>
        <w:rPr>
          <w:rStyle w:val="Emphasis"/>
          <w:rFonts w:ascii="Segoe UI" w:hAnsi="Segoe UI" w:cs="Segoe UI"/>
          <w:sz w:val="21"/>
          <w:szCs w:val="21"/>
        </w:rPr>
        <w:t>Les contes d’Hoffmann</w:t>
      </w:r>
      <w:r>
        <w:rPr>
          <w:rFonts w:ascii="Segoe UI" w:hAnsi="Segoe UI" w:cs="Segoe UI"/>
          <w:sz w:val="21"/>
          <w:szCs w:val="21"/>
        </w:rPr>
        <w:t xml:space="preserve">, and Gremin in </w:t>
      </w:r>
      <w:r>
        <w:rPr>
          <w:rStyle w:val="Emphasis"/>
          <w:rFonts w:ascii="Segoe UI" w:hAnsi="Segoe UI" w:cs="Segoe UI"/>
          <w:sz w:val="21"/>
          <w:szCs w:val="21"/>
        </w:rPr>
        <w:t>Eugene Onegin</w:t>
      </w:r>
      <w:r>
        <w:rPr>
          <w:rFonts w:ascii="Segoe UI" w:hAnsi="Segoe UI" w:cs="Segoe UI"/>
          <w:sz w:val="21"/>
          <w:szCs w:val="21"/>
        </w:rPr>
        <w:t>.</w:t>
      </w:r>
    </w:p>
    <w:p w14:paraId="4C1C0698" w14:textId="7E2547A7" w:rsidR="00EA5E02" w:rsidRPr="00C42BE0" w:rsidRDefault="00C42BE0" w:rsidP="00C42BE0">
      <w:pPr>
        <w:pStyle w:val="NormalWeb"/>
        <w:spacing w:line="300" w:lineRule="atLeast"/>
        <w:rPr>
          <w:rFonts w:ascii="Segoe UI" w:hAnsi="Segoe UI" w:cs="Segoe UI"/>
          <w:sz w:val="21"/>
          <w:szCs w:val="21"/>
        </w:rPr>
      </w:pPr>
      <w:r>
        <w:rPr>
          <w:rFonts w:ascii="Segoe UI" w:hAnsi="Segoe UI" w:cs="Segoe UI"/>
          <w:sz w:val="21"/>
          <w:szCs w:val="21"/>
        </w:rPr>
        <w:t xml:space="preserve">Jean Teitgen’s distinguished career has been shaped by collaborations with many of the world’s most respected conductors, reflecting both his vocal versatility and artistic depth. He has worked under the batons of Bertrand de Billy, Thomas Hengelbrock, Louis Langrée, Marc Minkowski, Sir Antonio Pappano, Evelino Pidò, Simone Young and Antonello Manacorda. This season on the concert stage, Teitgen debuts with both Orchestre de Paris under Klaus Mäkelä in Berlioz’ </w:t>
      </w:r>
      <w:r>
        <w:rPr>
          <w:rStyle w:val="Emphasis"/>
          <w:rFonts w:ascii="Segoe UI" w:hAnsi="Segoe UI" w:cs="Segoe UI"/>
          <w:sz w:val="21"/>
          <w:szCs w:val="21"/>
        </w:rPr>
        <w:t>Roméo et Juliette</w:t>
      </w:r>
      <w:r>
        <w:rPr>
          <w:rFonts w:ascii="Segoe UI" w:hAnsi="Segoe UI" w:cs="Segoe UI"/>
          <w:sz w:val="21"/>
          <w:szCs w:val="21"/>
        </w:rPr>
        <w:t xml:space="preserve"> and Berliner Philharmoniker under Maxime Pascal in </w:t>
      </w:r>
      <w:r>
        <w:rPr>
          <w:rStyle w:val="Emphasis"/>
          <w:rFonts w:ascii="Segoe UI" w:hAnsi="Segoe UI" w:cs="Segoe UI"/>
          <w:sz w:val="21"/>
          <w:szCs w:val="21"/>
        </w:rPr>
        <w:t>L’enfance du Christ</w:t>
      </w:r>
      <w:r>
        <w:rPr>
          <w:rFonts w:ascii="Segoe UI" w:hAnsi="Segoe UI" w:cs="Segoe UI"/>
          <w:sz w:val="21"/>
          <w:szCs w:val="21"/>
        </w:rPr>
        <w:t>, reprising the part at the Enescu Festival. His wider repertoire includes the Requiem settings by Verdi, Mozart and Donizetti, and Beethoven’s Symphony No.9</w:t>
      </w:r>
      <w:r w:rsidR="007F0FB8">
        <w:rPr>
          <w:rFonts w:ascii="Segoe UI" w:hAnsi="Segoe UI" w:cs="Segoe UI"/>
          <w:sz w:val="21"/>
          <w:szCs w:val="21"/>
        </w:rPr>
        <w:t>.</w:t>
      </w:r>
    </w:p>
    <w:sectPr w:rsidR="00EA5E02" w:rsidRPr="00C42BE0" w:rsidSect="00122FE9">
      <w:headerReference w:type="default" r:id="rId6"/>
      <w:footerReference w:type="default" r:id="rId7"/>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9F57CB7" w14:textId="77777777" w:rsidR="003B1E62" w:rsidRDefault="003B1E62" w:rsidP="00122FE9">
      <w:pPr>
        <w:spacing w:after="0" w:line="240" w:lineRule="auto"/>
      </w:pPr>
      <w:r>
        <w:separator/>
      </w:r>
    </w:p>
  </w:endnote>
  <w:endnote w:type="continuationSeparator" w:id="0">
    <w:p w14:paraId="43CAF815" w14:textId="77777777" w:rsidR="003B1E62" w:rsidRDefault="003B1E62" w:rsidP="00122F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047D56C" w14:textId="77777777" w:rsidR="00D13B8B" w:rsidRDefault="00D13B8B" w:rsidP="00D13B8B">
    <w:pPr>
      <w:ind w:right="26"/>
      <w:rPr>
        <w:rFonts w:ascii="Arial" w:hAnsi="Arial"/>
        <w:sz w:val="20"/>
        <w:szCs w:val="20"/>
      </w:rPr>
    </w:pPr>
  </w:p>
  <w:p w14:paraId="39BF934E" w14:textId="3BCD26C9" w:rsidR="00D13B8B" w:rsidRDefault="00D13B8B" w:rsidP="00D13B8B">
    <w:pPr>
      <w:ind w:right="26"/>
      <w:rPr>
        <w:rFonts w:ascii="Arial" w:eastAsia="Arial" w:hAnsi="Arial" w:cs="Arial"/>
        <w:sz w:val="20"/>
        <w:szCs w:val="20"/>
      </w:rPr>
    </w:pPr>
    <w:r>
      <w:rPr>
        <w:rFonts w:ascii="Arial" w:hAnsi="Arial"/>
        <w:sz w:val="20"/>
        <w:szCs w:val="20"/>
      </w:rPr>
      <w:t>202</w:t>
    </w:r>
    <w:r w:rsidR="00A83279">
      <w:rPr>
        <w:rFonts w:ascii="Arial" w:hAnsi="Arial"/>
        <w:sz w:val="20"/>
        <w:szCs w:val="20"/>
      </w:rPr>
      <w:t>6</w:t>
    </w:r>
    <w:r>
      <w:rPr>
        <w:rFonts w:ascii="Arial" w:hAnsi="Arial"/>
        <w:sz w:val="20"/>
        <w:szCs w:val="20"/>
      </w:rPr>
      <w:t>/2</w:t>
    </w:r>
    <w:r w:rsidR="00A83279">
      <w:rPr>
        <w:rFonts w:ascii="Arial" w:hAnsi="Arial"/>
        <w:sz w:val="20"/>
        <w:szCs w:val="20"/>
      </w:rPr>
      <w:t>7</w:t>
    </w:r>
    <w:r>
      <w:rPr>
        <w:rFonts w:ascii="Arial" w:hAnsi="Arial"/>
        <w:sz w:val="20"/>
        <w:szCs w:val="20"/>
      </w:rPr>
      <w:t xml:space="preserve"> season only. Please contact HarrisonParrott if you wish to edit this biography.</w:t>
    </w:r>
  </w:p>
  <w:p w14:paraId="4B26ADAE" w14:textId="77777777" w:rsidR="00D13B8B" w:rsidRDefault="00D13B8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DA6494E" w14:textId="77777777" w:rsidR="003B1E62" w:rsidRDefault="003B1E62" w:rsidP="00122FE9">
      <w:pPr>
        <w:spacing w:after="0" w:line="240" w:lineRule="auto"/>
      </w:pPr>
      <w:r>
        <w:separator/>
      </w:r>
    </w:p>
  </w:footnote>
  <w:footnote w:type="continuationSeparator" w:id="0">
    <w:p w14:paraId="49C8A4B3" w14:textId="77777777" w:rsidR="003B1E62" w:rsidRDefault="003B1E62" w:rsidP="00122FE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D3E53D5" w14:textId="652AC2B2" w:rsidR="00122FE9" w:rsidRDefault="00122FE9">
    <w:pPr>
      <w:pStyle w:val="Header"/>
    </w:pPr>
    <w:r>
      <w:rPr>
        <w:noProof/>
      </w:rPr>
      <w:drawing>
        <wp:anchor distT="152400" distB="152400" distL="152400" distR="152400" simplePos="0" relativeHeight="251659264" behindDoc="1" locked="0" layoutInCell="1" allowOverlap="1" wp14:anchorId="14AECA78" wp14:editId="6C787B9A">
          <wp:simplePos x="0" y="0"/>
          <wp:positionH relativeFrom="page">
            <wp:posOffset>2719800</wp:posOffset>
          </wp:positionH>
          <wp:positionV relativeFrom="page">
            <wp:posOffset>148800</wp:posOffset>
          </wp:positionV>
          <wp:extent cx="1800225" cy="674370"/>
          <wp:effectExtent l="0" t="0" r="0" b="0"/>
          <wp:wrapNone/>
          <wp:docPr id="1073741825" name="officeArt object" descr="MasterLogo"/>
          <wp:cNvGraphicFramePr/>
          <a:graphic xmlns:a="http://schemas.openxmlformats.org/drawingml/2006/main">
            <a:graphicData uri="http://schemas.openxmlformats.org/drawingml/2006/picture">
              <pic:pic xmlns:pic="http://schemas.openxmlformats.org/drawingml/2006/picture">
                <pic:nvPicPr>
                  <pic:cNvPr id="1073741825" name="MasterLogo.pdf" descr="MasterLogo"/>
                  <pic:cNvPicPr>
                    <a:picLocks noChangeAspect="1"/>
                  </pic:cNvPicPr>
                </pic:nvPicPr>
                <pic:blipFill>
                  <a:blip r:embed="rId1"/>
                  <a:stretch>
                    <a:fillRect/>
                  </a:stretch>
                </pic:blipFill>
                <pic:spPr>
                  <a:xfrm>
                    <a:off x="0" y="0"/>
                    <a:ext cx="1800225" cy="674370"/>
                  </a:xfrm>
                  <a:prstGeom prst="rect">
                    <a:avLst/>
                  </a:prstGeom>
                  <a:ln w="12700" cap="flat">
                    <a:noFill/>
                    <a:miter lim="400000"/>
                  </a:ln>
                  <a:effectLst/>
                </pic:spPr>
              </pic:pic>
            </a:graphicData>
          </a:graphic>
        </wp:anchor>
      </w:drawing>
    </w: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9"/>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37AD"/>
    <w:rsid w:val="000E37AD"/>
    <w:rsid w:val="00122FE9"/>
    <w:rsid w:val="003B1E62"/>
    <w:rsid w:val="004074B6"/>
    <w:rsid w:val="00414B7B"/>
    <w:rsid w:val="00462CBF"/>
    <w:rsid w:val="00564762"/>
    <w:rsid w:val="006C4E52"/>
    <w:rsid w:val="007F0FB8"/>
    <w:rsid w:val="009A33F0"/>
    <w:rsid w:val="00A83279"/>
    <w:rsid w:val="00AC6E75"/>
    <w:rsid w:val="00B86F56"/>
    <w:rsid w:val="00C021B6"/>
    <w:rsid w:val="00C17DC6"/>
    <w:rsid w:val="00C42BE0"/>
    <w:rsid w:val="00D13B8B"/>
    <w:rsid w:val="00EA5E02"/>
    <w:rsid w:val="00FA3235"/>
    <w:rsid w:val="00FB579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65E504"/>
  <w15:chartTrackingRefBased/>
  <w15:docId w15:val="{1D05158E-3EFB-4256-B3BC-A41304F24E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E37A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E37A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E37A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E37A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E37A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E37A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E37A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E37A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E37A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E37A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E37A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E37A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E37A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E37A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E37A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E37A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E37A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E37AD"/>
    <w:rPr>
      <w:rFonts w:eastAsiaTheme="majorEastAsia" w:cstheme="majorBidi"/>
      <w:color w:val="272727" w:themeColor="text1" w:themeTint="D8"/>
    </w:rPr>
  </w:style>
  <w:style w:type="paragraph" w:styleId="Title">
    <w:name w:val="Title"/>
    <w:basedOn w:val="Normal"/>
    <w:next w:val="Normal"/>
    <w:link w:val="TitleChar"/>
    <w:uiPriority w:val="10"/>
    <w:qFormat/>
    <w:rsid w:val="000E37A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E37A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E37A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E37A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E37AD"/>
    <w:pPr>
      <w:spacing w:before="160"/>
      <w:jc w:val="center"/>
    </w:pPr>
    <w:rPr>
      <w:i/>
      <w:iCs/>
      <w:color w:val="404040" w:themeColor="text1" w:themeTint="BF"/>
    </w:rPr>
  </w:style>
  <w:style w:type="character" w:customStyle="1" w:styleId="QuoteChar">
    <w:name w:val="Quote Char"/>
    <w:basedOn w:val="DefaultParagraphFont"/>
    <w:link w:val="Quote"/>
    <w:uiPriority w:val="29"/>
    <w:rsid w:val="000E37AD"/>
    <w:rPr>
      <w:i/>
      <w:iCs/>
      <w:color w:val="404040" w:themeColor="text1" w:themeTint="BF"/>
    </w:rPr>
  </w:style>
  <w:style w:type="paragraph" w:styleId="ListParagraph">
    <w:name w:val="List Paragraph"/>
    <w:basedOn w:val="Normal"/>
    <w:uiPriority w:val="34"/>
    <w:qFormat/>
    <w:rsid w:val="000E37AD"/>
    <w:pPr>
      <w:ind w:left="720"/>
      <w:contextualSpacing/>
    </w:pPr>
  </w:style>
  <w:style w:type="character" w:styleId="IntenseEmphasis">
    <w:name w:val="Intense Emphasis"/>
    <w:basedOn w:val="DefaultParagraphFont"/>
    <w:uiPriority w:val="21"/>
    <w:qFormat/>
    <w:rsid w:val="000E37AD"/>
    <w:rPr>
      <w:i/>
      <w:iCs/>
      <w:color w:val="0F4761" w:themeColor="accent1" w:themeShade="BF"/>
    </w:rPr>
  </w:style>
  <w:style w:type="paragraph" w:styleId="IntenseQuote">
    <w:name w:val="Intense Quote"/>
    <w:basedOn w:val="Normal"/>
    <w:next w:val="Normal"/>
    <w:link w:val="IntenseQuoteChar"/>
    <w:uiPriority w:val="30"/>
    <w:qFormat/>
    <w:rsid w:val="000E37A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E37AD"/>
    <w:rPr>
      <w:i/>
      <w:iCs/>
      <w:color w:val="0F4761" w:themeColor="accent1" w:themeShade="BF"/>
    </w:rPr>
  </w:style>
  <w:style w:type="character" w:styleId="IntenseReference">
    <w:name w:val="Intense Reference"/>
    <w:basedOn w:val="DefaultParagraphFont"/>
    <w:uiPriority w:val="32"/>
    <w:qFormat/>
    <w:rsid w:val="000E37AD"/>
    <w:rPr>
      <w:b/>
      <w:bCs/>
      <w:smallCaps/>
      <w:color w:val="0F4761" w:themeColor="accent1" w:themeShade="BF"/>
      <w:spacing w:val="5"/>
    </w:rPr>
  </w:style>
  <w:style w:type="character" w:styleId="Strong">
    <w:name w:val="Strong"/>
    <w:basedOn w:val="DefaultParagraphFont"/>
    <w:uiPriority w:val="22"/>
    <w:qFormat/>
    <w:rsid w:val="00122FE9"/>
    <w:rPr>
      <w:b/>
      <w:bCs/>
    </w:rPr>
  </w:style>
  <w:style w:type="character" w:styleId="Emphasis">
    <w:name w:val="Emphasis"/>
    <w:basedOn w:val="DefaultParagraphFont"/>
    <w:uiPriority w:val="20"/>
    <w:qFormat/>
    <w:rsid w:val="00122FE9"/>
    <w:rPr>
      <w:i/>
      <w:iCs/>
    </w:rPr>
  </w:style>
  <w:style w:type="character" w:customStyle="1" w:styleId="apple-converted-space">
    <w:name w:val="apple-converted-space"/>
    <w:basedOn w:val="DefaultParagraphFont"/>
    <w:rsid w:val="00122FE9"/>
  </w:style>
  <w:style w:type="paragraph" w:styleId="NormalWeb">
    <w:name w:val="Normal (Web)"/>
    <w:basedOn w:val="Normal"/>
    <w:uiPriority w:val="99"/>
    <w:unhideWhenUsed/>
    <w:rsid w:val="00122FE9"/>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dib">
    <w:name w:val="dib"/>
    <w:basedOn w:val="DefaultParagraphFont"/>
    <w:rsid w:val="00122FE9"/>
  </w:style>
  <w:style w:type="paragraph" w:styleId="Header">
    <w:name w:val="header"/>
    <w:basedOn w:val="Normal"/>
    <w:link w:val="HeaderChar"/>
    <w:uiPriority w:val="99"/>
    <w:unhideWhenUsed/>
    <w:rsid w:val="00122FE9"/>
    <w:pPr>
      <w:tabs>
        <w:tab w:val="center" w:pos="4513"/>
        <w:tab w:val="right" w:pos="9026"/>
      </w:tabs>
      <w:spacing w:after="0" w:line="240" w:lineRule="auto"/>
    </w:pPr>
  </w:style>
  <w:style w:type="character" w:customStyle="1" w:styleId="HeaderChar">
    <w:name w:val="Header Char"/>
    <w:basedOn w:val="DefaultParagraphFont"/>
    <w:link w:val="Header"/>
    <w:uiPriority w:val="99"/>
    <w:rsid w:val="00122FE9"/>
  </w:style>
  <w:style w:type="paragraph" w:styleId="Footer">
    <w:name w:val="footer"/>
    <w:basedOn w:val="Normal"/>
    <w:link w:val="FooterChar"/>
    <w:uiPriority w:val="99"/>
    <w:unhideWhenUsed/>
    <w:rsid w:val="00122FE9"/>
    <w:pPr>
      <w:tabs>
        <w:tab w:val="center" w:pos="4513"/>
        <w:tab w:val="right" w:pos="9026"/>
      </w:tabs>
      <w:spacing w:after="0" w:line="240" w:lineRule="auto"/>
    </w:pPr>
  </w:style>
  <w:style w:type="character" w:customStyle="1" w:styleId="FooterChar">
    <w:name w:val="Footer Char"/>
    <w:basedOn w:val="DefaultParagraphFont"/>
    <w:link w:val="Footer"/>
    <w:uiPriority w:val="99"/>
    <w:rsid w:val="00122FE9"/>
  </w:style>
  <w:style w:type="paragraph" w:customStyle="1" w:styleId="ms-outlook-mobile-reference-message">
    <w:name w:val="ms-outlook-mobile-reference-message"/>
    <w:basedOn w:val="Normal"/>
    <w:rsid w:val="00C42BE0"/>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673606297">
      <w:bodyDiv w:val="1"/>
      <w:marLeft w:val="0"/>
      <w:marRight w:val="0"/>
      <w:marTop w:val="0"/>
      <w:marBottom w:val="0"/>
      <w:divBdr>
        <w:top w:val="none" w:sz="0" w:space="0" w:color="auto"/>
        <w:left w:val="none" w:sz="0" w:space="0" w:color="auto"/>
        <w:bottom w:val="none" w:sz="0" w:space="0" w:color="auto"/>
        <w:right w:val="none" w:sz="0" w:space="0" w:color="auto"/>
      </w:divBdr>
    </w:div>
    <w:div w:id="760756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406</Words>
  <Characters>2236</Characters>
  <Application>Microsoft Office Word</Application>
  <DocSecurity>0</DocSecurity>
  <Lines>34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Kaija Lappi</dc:creator>
  <cp:keywords/>
  <dc:description/>
  <cp:lastModifiedBy>Evi Jaman</cp:lastModifiedBy>
  <cp:revision>3</cp:revision>
  <cp:lastPrinted>2025-07-30T09:35:00Z</cp:lastPrinted>
  <dcterms:created xsi:type="dcterms:W3CDTF">2026-09-11T15:49:00Z</dcterms:created>
  <dcterms:modified xsi:type="dcterms:W3CDTF">2026-09-14T09:07:00Z</dcterms:modified>
</cp:coreProperties>
</file>