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8C0E88" w14:textId="77777777" w:rsidR="008B41D7" w:rsidRDefault="00FF4042" w:rsidP="00FF4042">
      <w:pPr>
        <w:rPr>
          <w:rFonts w:ascii="Arial" w:hAnsi="Arial"/>
          <w:sz w:val="40"/>
          <w:szCs w:val="40"/>
        </w:rPr>
      </w:pPr>
      <w:bookmarkStart w:id="0" w:name="OLE_LINK1"/>
      <w:r>
        <w:rPr>
          <w:rFonts w:ascii="Arial" w:hAnsi="Arial"/>
          <w:sz w:val="40"/>
          <w:szCs w:val="40"/>
        </w:rPr>
        <w:t>Lionel Bringuier</w:t>
      </w:r>
    </w:p>
    <w:p w14:paraId="3FAE236E" w14:textId="77777777" w:rsidR="008B41D7" w:rsidRDefault="008B41D7" w:rsidP="00FF4042">
      <w:pPr>
        <w:rPr>
          <w:rFonts w:ascii="Arial" w:hAnsi="Arial"/>
          <w:sz w:val="28"/>
          <w:szCs w:val="28"/>
        </w:rPr>
      </w:pPr>
      <w:r w:rsidRPr="008B41D7">
        <w:rPr>
          <w:rFonts w:ascii="Arial" w:hAnsi="Arial"/>
          <w:sz w:val="28"/>
          <w:szCs w:val="28"/>
        </w:rPr>
        <w:t>Conductor</w:t>
      </w:r>
    </w:p>
    <w:p w14:paraId="778B333D" w14:textId="04F82B9F" w:rsidR="00FF4042" w:rsidRPr="008B41D7" w:rsidRDefault="00A70E90" w:rsidP="00FF4042">
      <w:pPr>
        <w:rPr>
          <w:rFonts w:ascii="Arial" w:hAnsi="Arial"/>
          <w:sz w:val="22"/>
          <w:szCs w:val="22"/>
        </w:rPr>
      </w:pPr>
      <w:r>
        <w:rPr>
          <w:rFonts w:ascii="Arial Unicode MS" w:eastAsia="Arial Unicode MS" w:hAnsi="Arial Unicode MS" w:cs="Arial Unicode MS"/>
        </w:rPr>
        <w:br/>
      </w:r>
      <w:r w:rsidR="00FF4042" w:rsidRPr="008B41D7">
        <w:rPr>
          <w:rFonts w:ascii="Arial" w:hAnsi="Arial"/>
          <w:sz w:val="22"/>
          <w:szCs w:val="22"/>
        </w:rPr>
        <w:t>Honorary Conductor of Nice Philharmonic Orchestra</w:t>
      </w:r>
    </w:p>
    <w:p w14:paraId="5A6E198C" w14:textId="527D4FF8" w:rsidR="00D92F1A" w:rsidRPr="008B41D7" w:rsidRDefault="00FF4042" w:rsidP="00FF4042">
      <w:pPr>
        <w:rPr>
          <w:rFonts w:ascii="Arial" w:eastAsia="Arial" w:hAnsi="Arial" w:cs="Arial"/>
          <w:sz w:val="18"/>
          <w:szCs w:val="18"/>
        </w:rPr>
      </w:pPr>
      <w:r w:rsidRPr="008B41D7">
        <w:rPr>
          <w:rFonts w:ascii="Arial" w:hAnsi="Arial"/>
          <w:sz w:val="22"/>
          <w:szCs w:val="22"/>
        </w:rPr>
        <w:t xml:space="preserve">Music Director of Orchestre </w:t>
      </w:r>
      <w:proofErr w:type="spellStart"/>
      <w:r w:rsidRPr="008B41D7">
        <w:rPr>
          <w:rFonts w:ascii="Arial" w:hAnsi="Arial"/>
          <w:sz w:val="22"/>
          <w:szCs w:val="22"/>
        </w:rPr>
        <w:t>Philharmonique</w:t>
      </w:r>
      <w:proofErr w:type="spellEnd"/>
      <w:r w:rsidRPr="008B41D7">
        <w:rPr>
          <w:rFonts w:ascii="Arial" w:hAnsi="Arial"/>
          <w:sz w:val="22"/>
          <w:szCs w:val="22"/>
        </w:rPr>
        <w:t xml:space="preserve"> Royal de Liège</w:t>
      </w:r>
    </w:p>
    <w:p w14:paraId="4CD6F40A" w14:textId="77777777" w:rsidR="00D92F1A" w:rsidRDefault="00D92F1A">
      <w:pPr>
        <w:ind w:right="26"/>
        <w:rPr>
          <w:rFonts w:ascii="Arial" w:eastAsia="Arial" w:hAnsi="Arial" w:cs="Arial"/>
          <w:sz w:val="34"/>
          <w:szCs w:val="34"/>
        </w:rPr>
      </w:pPr>
    </w:p>
    <w:bookmarkEnd w:id="0"/>
    <w:p w14:paraId="6EAA4903" w14:textId="4F13229E" w:rsidR="00D43846" w:rsidRPr="005668EF" w:rsidRDefault="00D43846" w:rsidP="005668EF">
      <w:pPr>
        <w:rPr>
          <w:rFonts w:ascii="Arial" w:hAnsi="Arial"/>
          <w:color w:val="auto"/>
          <w:sz w:val="19"/>
          <w:szCs w:val="19"/>
          <w:lang w:val="en-GB"/>
        </w:rPr>
      </w:pPr>
      <w:r w:rsidRPr="005668EF">
        <w:rPr>
          <w:rFonts w:ascii="Arial" w:hAnsi="Arial"/>
          <w:color w:val="auto"/>
          <w:sz w:val="19"/>
          <w:szCs w:val="19"/>
          <w:lang w:val="en-GB"/>
        </w:rPr>
        <w:t xml:space="preserve">This season, Lionel Bringuier continues as Music Director of Orchestre </w:t>
      </w:r>
      <w:proofErr w:type="spellStart"/>
      <w:r w:rsidRPr="005668EF">
        <w:rPr>
          <w:rFonts w:ascii="Arial" w:hAnsi="Arial"/>
          <w:color w:val="auto"/>
          <w:sz w:val="19"/>
          <w:szCs w:val="19"/>
          <w:lang w:val="en-GB"/>
        </w:rPr>
        <w:t>Philharmonique</w:t>
      </w:r>
      <w:proofErr w:type="spellEnd"/>
      <w:r w:rsidRPr="005668EF">
        <w:rPr>
          <w:rFonts w:ascii="Arial" w:hAnsi="Arial"/>
          <w:color w:val="auto"/>
          <w:sz w:val="19"/>
          <w:szCs w:val="19"/>
          <w:lang w:val="en-GB"/>
        </w:rPr>
        <w:t xml:space="preserve"> Royal de Liège, further strengthening the orchestra’s artistic profile through ambitious programming, international touring, and collaborations with leading soloists. Highlights </w:t>
      </w:r>
      <w:r w:rsidR="00726240" w:rsidRPr="005668EF">
        <w:rPr>
          <w:rFonts w:ascii="Arial" w:hAnsi="Arial"/>
          <w:color w:val="auto"/>
          <w:sz w:val="19"/>
          <w:szCs w:val="19"/>
          <w:lang w:val="en-GB"/>
        </w:rPr>
        <w:t xml:space="preserve">this season </w:t>
      </w:r>
      <w:r w:rsidRPr="005668EF">
        <w:rPr>
          <w:rFonts w:ascii="Arial" w:hAnsi="Arial"/>
          <w:color w:val="auto"/>
          <w:sz w:val="19"/>
          <w:szCs w:val="19"/>
          <w:lang w:val="en-GB"/>
        </w:rPr>
        <w:t xml:space="preserve">include performances with Behzod Abduraimov, Hilary Hahn, Seth Parker Woods and Victor Julien-Laferrière, as well as appearances at Concertgebouw Amsterdam and tours to Poland and Italy. </w:t>
      </w:r>
      <w:r w:rsidR="00745D3C" w:rsidRPr="00FB3C5D">
        <w:rPr>
          <w:rFonts w:ascii="Arial" w:hAnsi="Arial"/>
          <w:color w:val="auto"/>
          <w:sz w:val="19"/>
          <w:szCs w:val="19"/>
          <w:lang w:val="en-GB"/>
        </w:rPr>
        <w:t>The orchestra also continues its longstanding broadcast partnerships with Mezzo and Medici.tv, with several performances each season reaching international audiences through television and online streaming.</w:t>
      </w:r>
      <w:r w:rsidR="00745D3C">
        <w:rPr>
          <w:rFonts w:ascii="Arial" w:hAnsi="Arial"/>
          <w:color w:val="auto"/>
          <w:sz w:val="19"/>
          <w:szCs w:val="19"/>
          <w:lang w:val="en-GB"/>
        </w:rPr>
        <w:t xml:space="preserve"> </w:t>
      </w:r>
      <w:r w:rsidRPr="005668EF">
        <w:rPr>
          <w:rFonts w:ascii="Arial" w:hAnsi="Arial"/>
          <w:color w:val="auto"/>
          <w:sz w:val="19"/>
          <w:szCs w:val="19"/>
          <w:lang w:val="en-GB"/>
        </w:rPr>
        <w:t xml:space="preserve">Alongside his role in Liège, </w:t>
      </w:r>
      <w:proofErr w:type="spellStart"/>
      <w:r w:rsidRPr="005668EF">
        <w:rPr>
          <w:rFonts w:ascii="Arial" w:hAnsi="Arial"/>
          <w:color w:val="auto"/>
          <w:sz w:val="19"/>
          <w:szCs w:val="19"/>
          <w:lang w:val="en-GB"/>
        </w:rPr>
        <w:t>Bringuier</w:t>
      </w:r>
      <w:proofErr w:type="spellEnd"/>
      <w:r w:rsidRPr="005668EF">
        <w:rPr>
          <w:rFonts w:ascii="Arial" w:hAnsi="Arial"/>
          <w:color w:val="auto"/>
          <w:sz w:val="19"/>
          <w:szCs w:val="19"/>
          <w:lang w:val="en-GB"/>
        </w:rPr>
        <w:t xml:space="preserve"> remains Honorary Conductor of Orchestre </w:t>
      </w:r>
      <w:proofErr w:type="spellStart"/>
      <w:r w:rsidRPr="005668EF">
        <w:rPr>
          <w:rFonts w:ascii="Arial" w:hAnsi="Arial"/>
          <w:color w:val="auto"/>
          <w:sz w:val="19"/>
          <w:szCs w:val="19"/>
          <w:lang w:val="en-GB"/>
        </w:rPr>
        <w:t>Philharmonique</w:t>
      </w:r>
      <w:proofErr w:type="spellEnd"/>
      <w:r w:rsidRPr="005668EF">
        <w:rPr>
          <w:rFonts w:ascii="Arial" w:hAnsi="Arial"/>
          <w:color w:val="auto"/>
          <w:sz w:val="19"/>
          <w:szCs w:val="19"/>
          <w:lang w:val="en-GB"/>
        </w:rPr>
        <w:t xml:space="preserve"> de Nice, maintaining a close relationship with his hometown orchestra through a range of symphonic and special projects.</w:t>
      </w:r>
    </w:p>
    <w:p w14:paraId="3166BD41" w14:textId="77777777" w:rsidR="00D43846" w:rsidRPr="005668EF" w:rsidRDefault="00D43846" w:rsidP="005668EF">
      <w:pPr>
        <w:rPr>
          <w:rFonts w:ascii="Arial" w:hAnsi="Arial"/>
          <w:color w:val="auto"/>
          <w:sz w:val="19"/>
          <w:szCs w:val="19"/>
          <w:lang w:val="en-GB"/>
        </w:rPr>
      </w:pPr>
    </w:p>
    <w:p w14:paraId="2272941B" w14:textId="25A9505B" w:rsidR="00196876" w:rsidRPr="005668EF" w:rsidRDefault="00D43846" w:rsidP="005668EF">
      <w:pPr>
        <w:rPr>
          <w:rFonts w:ascii="Arial" w:hAnsi="Arial"/>
          <w:color w:val="auto"/>
          <w:sz w:val="19"/>
          <w:szCs w:val="19"/>
          <w:lang w:val="en-GB"/>
        </w:rPr>
      </w:pPr>
      <w:r w:rsidRPr="005668EF">
        <w:rPr>
          <w:rFonts w:ascii="Arial" w:hAnsi="Arial"/>
          <w:color w:val="auto"/>
          <w:sz w:val="19"/>
          <w:szCs w:val="19"/>
          <w:lang w:val="en-GB"/>
        </w:rPr>
        <w:t>Guest conducting highlights of the 2026/27 season include his debut with Minnesota Orchestra</w:t>
      </w:r>
      <w:r w:rsidR="007B5E9E" w:rsidRPr="005668EF">
        <w:rPr>
          <w:rFonts w:ascii="Arial" w:hAnsi="Arial"/>
          <w:color w:val="auto"/>
          <w:sz w:val="19"/>
          <w:szCs w:val="19"/>
          <w:lang w:val="en-GB"/>
        </w:rPr>
        <w:t xml:space="preserve">, </w:t>
      </w:r>
      <w:r w:rsidRPr="005668EF">
        <w:rPr>
          <w:rFonts w:ascii="Arial" w:hAnsi="Arial"/>
          <w:color w:val="auto"/>
          <w:sz w:val="19"/>
          <w:szCs w:val="19"/>
          <w:lang w:val="en-GB"/>
        </w:rPr>
        <w:t>a return to Nagoya Philharmonic Orchestra, two concerts with Tokyo Philharmonic Orchestra</w:t>
      </w:r>
      <w:r w:rsidR="007B5E9E" w:rsidRPr="005668EF">
        <w:rPr>
          <w:rFonts w:ascii="Arial" w:hAnsi="Arial"/>
          <w:color w:val="auto"/>
          <w:sz w:val="19"/>
          <w:szCs w:val="19"/>
          <w:lang w:val="en-GB"/>
        </w:rPr>
        <w:t xml:space="preserve"> with soloists, Marc Bouchkov and Edgar Moreau</w:t>
      </w:r>
      <w:r w:rsidR="00726240" w:rsidRPr="005668EF">
        <w:rPr>
          <w:rFonts w:ascii="Arial" w:hAnsi="Arial"/>
          <w:color w:val="auto"/>
          <w:sz w:val="19"/>
          <w:szCs w:val="19"/>
          <w:lang w:val="en-GB"/>
        </w:rPr>
        <w:t xml:space="preserve">, and a concert with Sinfonia </w:t>
      </w:r>
      <w:proofErr w:type="spellStart"/>
      <w:r w:rsidRPr="005668EF">
        <w:rPr>
          <w:rFonts w:ascii="Arial" w:hAnsi="Arial"/>
          <w:color w:val="auto"/>
          <w:sz w:val="19"/>
          <w:szCs w:val="19"/>
          <w:lang w:val="en-GB"/>
        </w:rPr>
        <w:t>Varsovia</w:t>
      </w:r>
      <w:proofErr w:type="spellEnd"/>
      <w:r w:rsidRPr="005668EF">
        <w:rPr>
          <w:rFonts w:ascii="Arial" w:hAnsi="Arial"/>
          <w:color w:val="auto"/>
          <w:sz w:val="19"/>
          <w:szCs w:val="19"/>
          <w:lang w:val="en-GB"/>
        </w:rPr>
        <w:t xml:space="preserve"> and Pierre-Laurent Aimard at the Ludwig van Beethoven Easter Festival in Warsaw. </w:t>
      </w:r>
      <w:r w:rsidR="00196876" w:rsidRPr="005668EF">
        <w:rPr>
          <w:rFonts w:ascii="Arial" w:hAnsi="Arial"/>
          <w:color w:val="auto"/>
          <w:sz w:val="19"/>
          <w:szCs w:val="19"/>
          <w:lang w:val="en-GB"/>
        </w:rPr>
        <w:t xml:space="preserve">Recent highlights include returns to the Los Angeles Philharmonic at the Hollywood Bowl, the </w:t>
      </w:r>
      <w:proofErr w:type="spellStart"/>
      <w:r w:rsidR="00196876" w:rsidRPr="005668EF">
        <w:rPr>
          <w:rFonts w:ascii="Arial" w:hAnsi="Arial"/>
          <w:color w:val="auto"/>
          <w:sz w:val="19"/>
          <w:szCs w:val="19"/>
          <w:lang w:val="en-GB"/>
        </w:rPr>
        <w:t>Deutsches</w:t>
      </w:r>
      <w:proofErr w:type="spellEnd"/>
      <w:r w:rsidR="00196876" w:rsidRPr="005668EF">
        <w:rPr>
          <w:rFonts w:ascii="Arial" w:hAnsi="Arial"/>
          <w:color w:val="auto"/>
          <w:sz w:val="19"/>
          <w:szCs w:val="19"/>
          <w:lang w:val="en-GB"/>
        </w:rPr>
        <w:t xml:space="preserve"> Symphonie-</w:t>
      </w:r>
      <w:proofErr w:type="spellStart"/>
      <w:r w:rsidR="00196876" w:rsidRPr="005668EF">
        <w:rPr>
          <w:rFonts w:ascii="Arial" w:hAnsi="Arial"/>
          <w:color w:val="auto"/>
          <w:sz w:val="19"/>
          <w:szCs w:val="19"/>
          <w:lang w:val="en-GB"/>
        </w:rPr>
        <w:t>Orchester</w:t>
      </w:r>
      <w:proofErr w:type="spellEnd"/>
      <w:r w:rsidR="00196876" w:rsidRPr="005668EF">
        <w:rPr>
          <w:rFonts w:ascii="Arial" w:hAnsi="Arial"/>
          <w:color w:val="auto"/>
          <w:sz w:val="19"/>
          <w:szCs w:val="19"/>
          <w:lang w:val="en-GB"/>
        </w:rPr>
        <w:t xml:space="preserve"> Berlin at </w:t>
      </w:r>
      <w:proofErr w:type="spellStart"/>
      <w:r w:rsidR="00196876" w:rsidRPr="005668EF">
        <w:rPr>
          <w:rFonts w:ascii="Arial" w:hAnsi="Arial"/>
          <w:color w:val="auto"/>
          <w:sz w:val="19"/>
          <w:szCs w:val="19"/>
          <w:lang w:val="en-GB"/>
        </w:rPr>
        <w:t>Beethovenfest</w:t>
      </w:r>
      <w:proofErr w:type="spellEnd"/>
      <w:r w:rsidR="00196876" w:rsidRPr="005668EF">
        <w:rPr>
          <w:rFonts w:ascii="Arial" w:hAnsi="Arial"/>
          <w:color w:val="auto"/>
          <w:sz w:val="19"/>
          <w:szCs w:val="19"/>
          <w:lang w:val="en-GB"/>
        </w:rPr>
        <w:t xml:space="preserve"> Bonn, and Queensland and Sydney Symphony Orchestras, NOSPR Katowice, San Diego Symphony, Dresden Philharmonic, Royal Scottish National Orchestra and China National Symphony Orchestra, as well as the festivals of Aix-en-Provence, Menton and La Roque </w:t>
      </w:r>
      <w:proofErr w:type="spellStart"/>
      <w:r w:rsidR="00196876" w:rsidRPr="005668EF">
        <w:rPr>
          <w:rFonts w:ascii="Arial" w:hAnsi="Arial"/>
          <w:color w:val="auto"/>
          <w:sz w:val="19"/>
          <w:szCs w:val="19"/>
          <w:lang w:val="en-GB"/>
        </w:rPr>
        <w:t>d'Anthéron</w:t>
      </w:r>
      <w:proofErr w:type="spellEnd"/>
      <w:r w:rsidR="00196876" w:rsidRPr="005668EF">
        <w:rPr>
          <w:rFonts w:ascii="Arial" w:hAnsi="Arial"/>
          <w:color w:val="auto"/>
          <w:sz w:val="19"/>
          <w:szCs w:val="19"/>
          <w:lang w:val="en-GB"/>
        </w:rPr>
        <w:t>.</w:t>
      </w:r>
    </w:p>
    <w:p w14:paraId="69223237" w14:textId="1D5F5E1D" w:rsidR="00EE2FC8" w:rsidRPr="00D043D3" w:rsidRDefault="00D043D3" w:rsidP="005668EF">
      <w:pPr>
        <w:rPr>
          <w:rFonts w:ascii="Arial" w:hAnsi="Arial"/>
          <w:sz w:val="19"/>
          <w:szCs w:val="19"/>
          <w:lang w:val="en-GB"/>
        </w:rPr>
      </w:pPr>
      <w:r w:rsidRPr="00D043D3">
        <w:rPr>
          <w:rFonts w:ascii="Arial" w:hAnsi="Arial"/>
          <w:sz w:val="19"/>
          <w:szCs w:val="19"/>
          <w:lang w:val="en-GB"/>
        </w:rPr>
        <w:br/>
      </w:r>
    </w:p>
    <w:p w14:paraId="5FED49D6" w14:textId="6B7C882D" w:rsidR="00EE2FC8" w:rsidRPr="00D043D3" w:rsidRDefault="00EE2FC8" w:rsidP="005668EF">
      <w:pPr>
        <w:rPr>
          <w:rFonts w:ascii="Arial" w:hAnsi="Arial"/>
          <w:sz w:val="19"/>
          <w:szCs w:val="19"/>
          <w:lang w:val="en-GB"/>
        </w:rPr>
      </w:pPr>
      <w:r w:rsidRPr="00D043D3">
        <w:rPr>
          <w:rFonts w:ascii="Arial" w:hAnsi="Arial"/>
          <w:sz w:val="19"/>
          <w:szCs w:val="19"/>
          <w:lang w:val="en-GB"/>
        </w:rPr>
        <w:t xml:space="preserve">Very </w:t>
      </w:r>
      <w:r w:rsidR="0085575C" w:rsidRPr="00D043D3">
        <w:rPr>
          <w:rFonts w:ascii="Arial" w:hAnsi="Arial"/>
          <w:sz w:val="19"/>
          <w:szCs w:val="19"/>
          <w:lang w:val="en-GB"/>
        </w:rPr>
        <w:t>well-known</w:t>
      </w:r>
      <w:r w:rsidRPr="00D043D3">
        <w:rPr>
          <w:rFonts w:ascii="Arial" w:hAnsi="Arial"/>
          <w:sz w:val="19"/>
          <w:szCs w:val="19"/>
          <w:lang w:val="en-GB"/>
        </w:rPr>
        <w:t xml:space="preserve"> across Europe and having previously served as Music Director of </w:t>
      </w:r>
      <w:proofErr w:type="spellStart"/>
      <w:r w:rsidRPr="00D043D3">
        <w:rPr>
          <w:rFonts w:ascii="Arial" w:hAnsi="Arial"/>
          <w:sz w:val="19"/>
          <w:szCs w:val="19"/>
          <w:lang w:val="en-GB"/>
        </w:rPr>
        <w:t>Tonhalle-Orchester</w:t>
      </w:r>
      <w:proofErr w:type="spellEnd"/>
      <w:r w:rsidRPr="00D043D3">
        <w:rPr>
          <w:rFonts w:ascii="Arial" w:hAnsi="Arial"/>
          <w:sz w:val="19"/>
          <w:szCs w:val="19"/>
          <w:lang w:val="en-GB"/>
        </w:rPr>
        <w:t xml:space="preserve"> Zürich, </w:t>
      </w:r>
      <w:proofErr w:type="spellStart"/>
      <w:r w:rsidRPr="00D043D3">
        <w:rPr>
          <w:rFonts w:ascii="Arial" w:hAnsi="Arial"/>
          <w:sz w:val="19"/>
          <w:szCs w:val="19"/>
          <w:lang w:val="en-GB"/>
        </w:rPr>
        <w:t>Bringuier</w:t>
      </w:r>
      <w:proofErr w:type="spellEnd"/>
      <w:r w:rsidRPr="00D043D3">
        <w:rPr>
          <w:rFonts w:ascii="Arial" w:hAnsi="Arial"/>
          <w:sz w:val="19"/>
          <w:szCs w:val="19"/>
          <w:lang w:val="en-GB"/>
        </w:rPr>
        <w:t xml:space="preserve"> has also held posts with Orquesta </w:t>
      </w:r>
      <w:proofErr w:type="spellStart"/>
      <w:r w:rsidRPr="00D043D3">
        <w:rPr>
          <w:rFonts w:ascii="Arial" w:hAnsi="Arial"/>
          <w:sz w:val="19"/>
          <w:szCs w:val="19"/>
          <w:lang w:val="en-GB"/>
        </w:rPr>
        <w:t>Sinfónica</w:t>
      </w:r>
      <w:proofErr w:type="spellEnd"/>
      <w:r w:rsidRPr="00D043D3">
        <w:rPr>
          <w:rFonts w:ascii="Arial" w:hAnsi="Arial"/>
          <w:sz w:val="19"/>
          <w:szCs w:val="19"/>
          <w:lang w:val="en-GB"/>
        </w:rPr>
        <w:t xml:space="preserve"> de Castilla y León in Valladolid, Orchestre de Bretagne, and Orchestre de Chambre de Paris. His extensive expertise and commitment to the French repertoire have enabled him to curate sophisticated programmes featuring not only underperformed works by composers such as Schmitt and Roussel, but also music by contemporary French composers including Guillaume Connesson, Henri Dutilleux and </w:t>
      </w:r>
      <w:r w:rsidR="007F0DA8" w:rsidRPr="007F0DA8">
        <w:rPr>
          <w:rFonts w:ascii="Arial" w:hAnsi="Arial"/>
          <w:sz w:val="19"/>
          <w:szCs w:val="19"/>
          <w:lang w:val="en-GB"/>
        </w:rPr>
        <w:t>Marc André Dalbavie</w:t>
      </w:r>
      <w:r w:rsidRPr="00D043D3">
        <w:rPr>
          <w:rFonts w:ascii="Arial" w:hAnsi="Arial"/>
          <w:sz w:val="19"/>
          <w:szCs w:val="19"/>
          <w:lang w:val="en-GB"/>
        </w:rPr>
        <w:t>.</w:t>
      </w:r>
      <w:r w:rsidR="00D043D3" w:rsidRPr="00D043D3">
        <w:rPr>
          <w:rFonts w:ascii="Arial" w:hAnsi="Arial"/>
          <w:sz w:val="19"/>
          <w:szCs w:val="19"/>
          <w:lang w:val="en-GB"/>
        </w:rPr>
        <w:br/>
      </w:r>
    </w:p>
    <w:p w14:paraId="2D367920" w14:textId="1CFE6669" w:rsidR="00EE2FC8" w:rsidRPr="00EE2FC8" w:rsidRDefault="00EE2FC8" w:rsidP="005668EF">
      <w:pPr>
        <w:rPr>
          <w:rFonts w:ascii="Arial" w:hAnsi="Arial"/>
          <w:sz w:val="19"/>
          <w:szCs w:val="19"/>
          <w:lang w:val="en-GB"/>
        </w:rPr>
      </w:pPr>
      <w:proofErr w:type="spellStart"/>
      <w:r w:rsidRPr="00D043D3">
        <w:rPr>
          <w:rFonts w:ascii="Arial" w:hAnsi="Arial"/>
          <w:sz w:val="19"/>
          <w:szCs w:val="19"/>
          <w:lang w:val="en-GB"/>
        </w:rPr>
        <w:t>Bringuier</w:t>
      </w:r>
      <w:proofErr w:type="spellEnd"/>
      <w:r w:rsidRPr="00D043D3">
        <w:rPr>
          <w:rFonts w:ascii="Arial" w:hAnsi="Arial"/>
          <w:sz w:val="19"/>
          <w:szCs w:val="19"/>
          <w:lang w:val="en-GB"/>
        </w:rPr>
        <w:t xml:space="preserve"> has cultivated an extensive discography, collaborating with Yuja Wang on a recording of Ravel’s Piano Concerto for Deutsche Grammophon as part of a comprehensive cycle of the composer’s works. Additional recordings feature Chopin with Nelson Freire (DG) and multiple projects with the </w:t>
      </w:r>
      <w:proofErr w:type="spellStart"/>
      <w:r w:rsidRPr="00D043D3">
        <w:rPr>
          <w:rFonts w:ascii="Arial" w:hAnsi="Arial"/>
          <w:sz w:val="19"/>
          <w:szCs w:val="19"/>
          <w:lang w:val="en-GB"/>
        </w:rPr>
        <w:t>Capuçon</w:t>
      </w:r>
      <w:proofErr w:type="spellEnd"/>
      <w:r w:rsidRPr="00D043D3">
        <w:rPr>
          <w:rFonts w:ascii="Arial" w:hAnsi="Arial"/>
          <w:sz w:val="19"/>
          <w:szCs w:val="19"/>
          <w:lang w:val="en-GB"/>
        </w:rPr>
        <w:t xml:space="preserve"> brothers, including Saint-Saëns with Renaud </w:t>
      </w:r>
      <w:proofErr w:type="spellStart"/>
      <w:r w:rsidRPr="00D043D3">
        <w:rPr>
          <w:rFonts w:ascii="Arial" w:hAnsi="Arial"/>
          <w:sz w:val="19"/>
          <w:szCs w:val="19"/>
          <w:lang w:val="en-GB"/>
        </w:rPr>
        <w:t>Capuçon</w:t>
      </w:r>
      <w:proofErr w:type="spellEnd"/>
      <w:r w:rsidRPr="00D043D3">
        <w:rPr>
          <w:rFonts w:ascii="Arial" w:hAnsi="Arial"/>
          <w:sz w:val="19"/>
          <w:szCs w:val="19"/>
          <w:lang w:val="en-GB"/>
        </w:rPr>
        <w:t xml:space="preserve"> and </w:t>
      </w:r>
      <w:r w:rsidRPr="00D043D3">
        <w:rPr>
          <w:rFonts w:ascii="Arial" w:hAnsi="Arial"/>
          <w:i/>
          <w:iCs/>
          <w:sz w:val="19"/>
          <w:szCs w:val="19"/>
          <w:lang w:val="en-GB"/>
        </w:rPr>
        <w:t>Destination Paris</w:t>
      </w:r>
      <w:r w:rsidRPr="00D043D3">
        <w:rPr>
          <w:rFonts w:ascii="Arial" w:hAnsi="Arial"/>
          <w:sz w:val="19"/>
          <w:szCs w:val="19"/>
          <w:lang w:val="en-GB"/>
        </w:rPr>
        <w:t xml:space="preserve"> with Gautier </w:t>
      </w:r>
      <w:proofErr w:type="spellStart"/>
      <w:r w:rsidRPr="00D043D3">
        <w:rPr>
          <w:rFonts w:ascii="Arial" w:hAnsi="Arial"/>
          <w:sz w:val="19"/>
          <w:szCs w:val="19"/>
          <w:lang w:val="en-GB"/>
        </w:rPr>
        <w:t>Capuçon</w:t>
      </w:r>
      <w:proofErr w:type="spellEnd"/>
      <w:r w:rsidRPr="00D043D3">
        <w:rPr>
          <w:rFonts w:ascii="Arial" w:hAnsi="Arial"/>
          <w:sz w:val="19"/>
          <w:szCs w:val="19"/>
          <w:lang w:val="en-GB"/>
        </w:rPr>
        <w:t xml:space="preserve"> (Erato), released in conjunction with the 2024 Olympic Games in Paris. </w:t>
      </w:r>
      <w:proofErr w:type="spellStart"/>
      <w:r w:rsidRPr="00D043D3">
        <w:rPr>
          <w:rFonts w:ascii="Arial" w:hAnsi="Arial"/>
          <w:sz w:val="19"/>
          <w:szCs w:val="19"/>
          <w:lang w:val="en-GB"/>
        </w:rPr>
        <w:t>Bringuier</w:t>
      </w:r>
      <w:proofErr w:type="spellEnd"/>
      <w:r w:rsidRPr="00D043D3">
        <w:rPr>
          <w:rFonts w:ascii="Arial" w:hAnsi="Arial"/>
          <w:sz w:val="19"/>
          <w:szCs w:val="19"/>
          <w:lang w:val="en-GB"/>
        </w:rPr>
        <w:t xml:space="preserve"> maintains close professional relationships with many of the world’s leading instrumentalists, including Lisa Batiashvili, Anne-Sophie Mutter, Yefim Bronfman, Emanuel Ax, Leif Ove </w:t>
      </w:r>
      <w:proofErr w:type="spellStart"/>
      <w:r w:rsidRPr="00D043D3">
        <w:rPr>
          <w:rFonts w:ascii="Arial" w:hAnsi="Arial"/>
          <w:sz w:val="19"/>
          <w:szCs w:val="19"/>
          <w:lang w:val="en-GB"/>
        </w:rPr>
        <w:t>Andsnes</w:t>
      </w:r>
      <w:proofErr w:type="spellEnd"/>
      <w:r w:rsidRPr="00D043D3">
        <w:rPr>
          <w:rFonts w:ascii="Arial" w:hAnsi="Arial"/>
          <w:sz w:val="19"/>
          <w:szCs w:val="19"/>
          <w:lang w:val="en-GB"/>
        </w:rPr>
        <w:t xml:space="preserve"> and Janine Jansen.</w:t>
      </w:r>
      <w:r w:rsidR="00D043D3">
        <w:rPr>
          <w:rFonts w:ascii="Arial" w:hAnsi="Arial"/>
          <w:sz w:val="19"/>
          <w:szCs w:val="19"/>
          <w:lang w:val="en-GB"/>
        </w:rPr>
        <w:br/>
      </w:r>
    </w:p>
    <w:p w14:paraId="7B43A4D8" w14:textId="21E30D5D" w:rsidR="00D92F1A" w:rsidRDefault="00EE2FC8" w:rsidP="008B41D7">
      <w:proofErr w:type="spellStart"/>
      <w:r w:rsidRPr="00D043D3">
        <w:rPr>
          <w:rFonts w:ascii="Arial" w:hAnsi="Arial"/>
          <w:sz w:val="19"/>
          <w:szCs w:val="19"/>
          <w:lang w:val="en-GB"/>
        </w:rPr>
        <w:t>Bringuier</w:t>
      </w:r>
      <w:proofErr w:type="spellEnd"/>
      <w:r w:rsidRPr="00D043D3">
        <w:rPr>
          <w:rFonts w:ascii="Arial" w:hAnsi="Arial"/>
          <w:sz w:val="19"/>
          <w:szCs w:val="19"/>
          <w:lang w:val="en-GB"/>
        </w:rPr>
        <w:t xml:space="preserve"> comes from a family of musicians and studied cello and conducting at the Conservatoire de Paris, winning the prestigious International </w:t>
      </w:r>
      <w:proofErr w:type="spellStart"/>
      <w:r w:rsidRPr="00D043D3">
        <w:rPr>
          <w:rFonts w:ascii="Arial" w:hAnsi="Arial"/>
          <w:sz w:val="19"/>
          <w:szCs w:val="19"/>
          <w:lang w:val="en-GB"/>
        </w:rPr>
        <w:t>Besançon</w:t>
      </w:r>
      <w:proofErr w:type="spellEnd"/>
      <w:r w:rsidRPr="00D043D3">
        <w:rPr>
          <w:rFonts w:ascii="Arial" w:hAnsi="Arial"/>
          <w:sz w:val="19"/>
          <w:szCs w:val="19"/>
          <w:lang w:val="en-GB"/>
        </w:rPr>
        <w:t xml:space="preserve"> Competition for Young Conductors only a year after graduating. He remains deeply committed to education, outreach and the development of emerging conductors and soloists. A longstanding advocate for the next generation of musicians, he continues to support young artists through mentoring, educational initiatives and collaborations that bring classical music to new audiences.</w:t>
      </w:r>
      <w:r w:rsidR="00A70E90">
        <w:rPr>
          <w:rFonts w:ascii="Arial" w:eastAsia="Arial" w:hAnsi="Arial" w:cs="Arial"/>
          <w:noProof/>
          <w:sz w:val="40"/>
          <w:szCs w:val="40"/>
        </w:rPr>
        <w:drawing>
          <wp:anchor distT="57150" distB="57150" distL="57150" distR="57150" simplePos="0" relativeHeight="251660288" behindDoc="0" locked="0" layoutInCell="1" allowOverlap="1" wp14:anchorId="6D17E901" wp14:editId="2E53AE1C">
            <wp:simplePos x="0" y="0"/>
            <wp:positionH relativeFrom="column">
              <wp:posOffset>1736089</wp:posOffset>
            </wp:positionH>
            <wp:positionV relativeFrom="line">
              <wp:posOffset>353060</wp:posOffset>
            </wp:positionV>
            <wp:extent cx="261621" cy="228600"/>
            <wp:effectExtent l="0" t="0" r="5080" b="0"/>
            <wp:wrapThrough wrapText="bothSides" distL="57150" distR="57150">
              <wp:wrapPolygon edited="1">
                <wp:start x="9142" y="225"/>
                <wp:lineTo x="7340" y="675"/>
                <wp:lineTo x="5079" y="1838"/>
                <wp:lineTo x="3211" y="3600"/>
                <wp:lineTo x="1671" y="5963"/>
                <wp:lineTo x="721" y="8888"/>
                <wp:lineTo x="524" y="12263"/>
                <wp:lineTo x="950" y="14738"/>
                <wp:lineTo x="2064" y="17400"/>
                <wp:lineTo x="3670" y="19538"/>
                <wp:lineTo x="5800" y="21225"/>
                <wp:lineTo x="6750" y="21600"/>
                <wp:lineTo x="13795" y="21600"/>
                <wp:lineTo x="15695" y="20550"/>
                <wp:lineTo x="17629" y="18563"/>
                <wp:lineTo x="18972" y="16238"/>
                <wp:lineTo x="19791" y="13425"/>
                <wp:lineTo x="19922" y="10050"/>
                <wp:lineTo x="19595" y="8213"/>
                <wp:lineTo x="18579" y="5513"/>
                <wp:lineTo x="16973" y="3225"/>
                <wp:lineTo x="14712" y="1388"/>
                <wp:lineTo x="12157" y="375"/>
                <wp:lineTo x="10223" y="278"/>
                <wp:lineTo x="10223" y="6150"/>
                <wp:lineTo x="10977" y="6150"/>
                <wp:lineTo x="14221" y="6900"/>
                <wp:lineTo x="16908" y="8213"/>
                <wp:lineTo x="17367" y="8888"/>
                <wp:lineTo x="17170" y="9825"/>
                <wp:lineTo x="16318" y="10200"/>
                <wp:lineTo x="14778" y="9338"/>
                <wp:lineTo x="11763" y="8363"/>
                <wp:lineTo x="9765" y="8255"/>
                <wp:lineTo x="9765" y="9975"/>
                <wp:lineTo x="10420" y="9975"/>
                <wp:lineTo x="13238" y="10725"/>
                <wp:lineTo x="15630" y="11963"/>
                <wp:lineTo x="15990" y="12638"/>
                <wp:lineTo x="15695" y="13425"/>
                <wp:lineTo x="14975" y="13575"/>
                <wp:lineTo x="14155" y="12975"/>
                <wp:lineTo x="11239" y="11888"/>
                <wp:lineTo x="9502" y="11725"/>
                <wp:lineTo x="9502" y="13575"/>
                <wp:lineTo x="11894" y="13950"/>
                <wp:lineTo x="14319" y="15113"/>
                <wp:lineTo x="14712" y="15713"/>
                <wp:lineTo x="14581" y="16350"/>
                <wp:lineTo x="13959" y="16500"/>
                <wp:lineTo x="13238" y="16013"/>
                <wp:lineTo x="10682" y="15038"/>
                <wp:lineTo x="7700" y="14888"/>
                <wp:lineTo x="4882" y="15338"/>
                <wp:lineTo x="4620" y="14813"/>
                <wp:lineTo x="4751" y="14175"/>
                <wp:lineTo x="6619" y="13650"/>
                <wp:lineTo x="9502" y="13575"/>
                <wp:lineTo x="9502" y="11725"/>
                <wp:lineTo x="8028" y="11588"/>
                <wp:lineTo x="4620" y="12188"/>
                <wp:lineTo x="4194" y="11588"/>
                <wp:lineTo x="4358" y="10725"/>
                <wp:lineTo x="6357" y="10050"/>
                <wp:lineTo x="9765" y="9975"/>
                <wp:lineTo x="9765" y="8255"/>
                <wp:lineTo x="7569" y="8138"/>
                <wp:lineTo x="4227" y="8813"/>
                <wp:lineTo x="3670" y="8363"/>
                <wp:lineTo x="3539" y="7425"/>
                <wp:lineTo x="3801" y="6975"/>
                <wp:lineTo x="6160" y="6225"/>
                <wp:lineTo x="10223" y="6150"/>
                <wp:lineTo x="10223" y="278"/>
                <wp:lineTo x="9142" y="225"/>
              </wp:wrapPolygon>
            </wp:wrapThrough>
            <wp:docPr id="1073741826" name="officeArt object" descr="Description: Macintosh HD:Users:annablaseby:Downloads:spotify_logo_cmyk_green1.pn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1073741826" name="officeArt object" descr="Description: Macintosh HD:Users:annablaseby:Downloads:spotify_logo_cmyk_green1.png">
                      <a:hlinkClick r:id="rId10"/>
                    </pic:cNvPr>
                    <pic:cNvPicPr>
                      <a:picLocks noChangeAspect="1"/>
                    </pic:cNvPicPr>
                  </pic:nvPicPr>
                  <pic:blipFill>
                    <a:blip r:embed="rId11"/>
                    <a:srcRect r="67185" b="4255"/>
                    <a:stretch>
                      <a:fillRect/>
                    </a:stretch>
                  </pic:blipFill>
                  <pic:spPr>
                    <a:xfrm>
                      <a:off x="0" y="0"/>
                      <a:ext cx="261621" cy="228600"/>
                    </a:xfrm>
                    <a:prstGeom prst="rect">
                      <a:avLst/>
                    </a:prstGeom>
                    <a:ln w="12700" cap="flat">
                      <a:noFill/>
                      <a:miter lim="400000"/>
                    </a:ln>
                    <a:effectLst/>
                  </pic:spPr>
                </pic:pic>
              </a:graphicData>
            </a:graphic>
          </wp:anchor>
        </w:drawing>
      </w:r>
      <w:r w:rsidR="00A70E90">
        <w:rPr>
          <w:rFonts w:ascii="Arial" w:eastAsia="Arial" w:hAnsi="Arial" w:cs="Arial"/>
          <w:noProof/>
          <w:sz w:val="40"/>
          <w:szCs w:val="40"/>
        </w:rPr>
        <w:drawing>
          <wp:anchor distT="57150" distB="57150" distL="57150" distR="57150" simplePos="0" relativeHeight="251663360" behindDoc="0" locked="0" layoutInCell="1" allowOverlap="1" wp14:anchorId="7DACE42B" wp14:editId="020A514E">
            <wp:simplePos x="0" y="0"/>
            <wp:positionH relativeFrom="column">
              <wp:posOffset>753745</wp:posOffset>
            </wp:positionH>
            <wp:positionV relativeFrom="line">
              <wp:posOffset>353060</wp:posOffset>
            </wp:positionV>
            <wp:extent cx="236855" cy="236855"/>
            <wp:effectExtent l="0" t="0" r="0" b="0"/>
            <wp:wrapThrough wrapText="bothSides" distL="57150" distR="57150">
              <wp:wrapPolygon edited="1">
                <wp:start x="5358" y="0"/>
                <wp:lineTo x="17044" y="42"/>
                <wp:lineTo x="18309" y="274"/>
                <wp:lineTo x="19259" y="696"/>
                <wp:lineTo x="20060" y="1287"/>
                <wp:lineTo x="20693" y="2004"/>
                <wp:lineTo x="21199" y="2932"/>
                <wp:lineTo x="21495" y="4029"/>
                <wp:lineTo x="21600" y="5358"/>
                <wp:lineTo x="21558" y="17044"/>
                <wp:lineTo x="21347" y="18225"/>
                <wp:lineTo x="20967" y="19153"/>
                <wp:lineTo x="20355" y="20018"/>
                <wp:lineTo x="19659" y="20651"/>
                <wp:lineTo x="18773" y="21157"/>
                <wp:lineTo x="17698" y="21473"/>
                <wp:lineTo x="16221" y="21600"/>
                <wp:lineTo x="4556" y="21558"/>
                <wp:lineTo x="3375" y="21347"/>
                <wp:lineTo x="2447" y="20967"/>
                <wp:lineTo x="1582" y="20355"/>
                <wp:lineTo x="949" y="19659"/>
                <wp:lineTo x="443" y="18773"/>
                <wp:lineTo x="127" y="17698"/>
                <wp:lineTo x="0" y="16242"/>
                <wp:lineTo x="42" y="4556"/>
                <wp:lineTo x="253" y="3375"/>
                <wp:lineTo x="633" y="2447"/>
                <wp:lineTo x="1245" y="1582"/>
                <wp:lineTo x="1941" y="949"/>
                <wp:lineTo x="2827" y="443"/>
                <wp:lineTo x="3902" y="127"/>
                <wp:lineTo x="5358" y="0"/>
              </wp:wrapPolygon>
            </wp:wrapThrough>
            <wp:docPr id="1073741829" name="officeArt object" descr="Instagram-v051916">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073741829" name="officeArt object" descr="Instagram-v051916">
                      <a:hlinkClick r:id="rId12"/>
                    </pic:cNvPr>
                    <pic:cNvPicPr>
                      <a:picLocks noChangeAspect="1"/>
                    </pic:cNvPicPr>
                  </pic:nvPicPr>
                  <pic:blipFill>
                    <a:blip r:embed="rId13"/>
                    <a:stretch>
                      <a:fillRect/>
                    </a:stretch>
                  </pic:blipFill>
                  <pic:spPr>
                    <a:xfrm>
                      <a:off x="0" y="0"/>
                      <a:ext cx="236855" cy="236855"/>
                    </a:xfrm>
                    <a:prstGeom prst="rect">
                      <a:avLst/>
                    </a:prstGeom>
                    <a:ln w="12700" cap="flat">
                      <a:noFill/>
                      <a:miter lim="400000"/>
                    </a:ln>
                    <a:effectLst/>
                  </pic:spPr>
                </pic:pic>
              </a:graphicData>
            </a:graphic>
          </wp:anchor>
        </w:drawing>
      </w:r>
    </w:p>
    <w:sectPr w:rsidR="00D92F1A">
      <w:headerReference w:type="even" r:id="rId14"/>
      <w:headerReference w:type="default" r:id="rId15"/>
      <w:footerReference w:type="even" r:id="rId16"/>
      <w:footerReference w:type="default" r:id="rId17"/>
      <w:headerReference w:type="first" r:id="rId18"/>
      <w:footerReference w:type="first" r:id="rId19"/>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5D2E4C" w14:textId="77777777" w:rsidR="002F136D" w:rsidRDefault="002F136D">
      <w:r>
        <w:separator/>
      </w:r>
    </w:p>
  </w:endnote>
  <w:endnote w:type="continuationSeparator" w:id="0">
    <w:p w14:paraId="56F93357" w14:textId="77777777" w:rsidR="002F136D" w:rsidRDefault="002F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1A04A093"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9C90B9" w14:textId="77777777" w:rsidR="002F136D" w:rsidRDefault="002F136D">
      <w:r>
        <w:separator/>
      </w:r>
    </w:p>
  </w:footnote>
  <w:footnote w:type="continuationSeparator" w:id="0">
    <w:p w14:paraId="522FF8DF" w14:textId="77777777" w:rsidR="002F136D" w:rsidRDefault="002F1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D2386"/>
    <w:rsid w:val="000E5C12"/>
    <w:rsid w:val="000E7594"/>
    <w:rsid w:val="00195DB5"/>
    <w:rsid w:val="00196876"/>
    <w:rsid w:val="00256D84"/>
    <w:rsid w:val="00282F12"/>
    <w:rsid w:val="002926CE"/>
    <w:rsid w:val="002F136D"/>
    <w:rsid w:val="003900ED"/>
    <w:rsid w:val="003959F3"/>
    <w:rsid w:val="003E7A8C"/>
    <w:rsid w:val="005244C6"/>
    <w:rsid w:val="005315E7"/>
    <w:rsid w:val="00550508"/>
    <w:rsid w:val="005668EF"/>
    <w:rsid w:val="00614AF3"/>
    <w:rsid w:val="00635F33"/>
    <w:rsid w:val="00676A54"/>
    <w:rsid w:val="00726240"/>
    <w:rsid w:val="00741EAD"/>
    <w:rsid w:val="00745D3C"/>
    <w:rsid w:val="00760CB4"/>
    <w:rsid w:val="007B5E9E"/>
    <w:rsid w:val="007F0DA8"/>
    <w:rsid w:val="0085575C"/>
    <w:rsid w:val="00867EB8"/>
    <w:rsid w:val="008B41D7"/>
    <w:rsid w:val="00985752"/>
    <w:rsid w:val="00995BB8"/>
    <w:rsid w:val="009B13B6"/>
    <w:rsid w:val="00A02244"/>
    <w:rsid w:val="00A17798"/>
    <w:rsid w:val="00A70E90"/>
    <w:rsid w:val="00AA369D"/>
    <w:rsid w:val="00AA3F42"/>
    <w:rsid w:val="00AD2958"/>
    <w:rsid w:val="00AE0206"/>
    <w:rsid w:val="00BA5D41"/>
    <w:rsid w:val="00BF1F26"/>
    <w:rsid w:val="00C33DD6"/>
    <w:rsid w:val="00C51644"/>
    <w:rsid w:val="00CA0CC5"/>
    <w:rsid w:val="00CB1236"/>
    <w:rsid w:val="00CD08B7"/>
    <w:rsid w:val="00CE77C7"/>
    <w:rsid w:val="00D043D3"/>
    <w:rsid w:val="00D43846"/>
    <w:rsid w:val="00D92F1A"/>
    <w:rsid w:val="00DA6AB9"/>
    <w:rsid w:val="00DD3792"/>
    <w:rsid w:val="00DD5A75"/>
    <w:rsid w:val="00E5045D"/>
    <w:rsid w:val="00E76350"/>
    <w:rsid w:val="00EC09EE"/>
    <w:rsid w:val="00EE2FC8"/>
    <w:rsid w:val="00F818CD"/>
    <w:rsid w:val="00FB3C5D"/>
    <w:rsid w:val="00FF4042"/>
    <w:rsid w:val="00FF60D3"/>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styleId="CommentReference">
    <w:name w:val="annotation reference"/>
    <w:basedOn w:val="DefaultParagraphFont"/>
    <w:uiPriority w:val="99"/>
    <w:semiHidden/>
    <w:unhideWhenUsed/>
    <w:rsid w:val="00741EAD"/>
    <w:rPr>
      <w:sz w:val="16"/>
      <w:szCs w:val="16"/>
    </w:rPr>
  </w:style>
  <w:style w:type="paragraph" w:styleId="CommentText">
    <w:name w:val="annotation text"/>
    <w:basedOn w:val="Normal"/>
    <w:link w:val="CommentTextChar"/>
    <w:uiPriority w:val="99"/>
    <w:unhideWhenUsed/>
    <w:rsid w:val="00741EAD"/>
    <w:rPr>
      <w:sz w:val="20"/>
      <w:szCs w:val="20"/>
    </w:rPr>
  </w:style>
  <w:style w:type="character" w:customStyle="1" w:styleId="CommentTextChar">
    <w:name w:val="Comment Text Char"/>
    <w:basedOn w:val="DefaultParagraphFont"/>
    <w:link w:val="CommentText"/>
    <w:uiPriority w:val="99"/>
    <w:rsid w:val="00741EAD"/>
    <w:rPr>
      <w:rFonts w:ascii="Cambria" w:eastAsia="Cambria" w:hAnsi="Cambria" w:cs="Cambria"/>
      <w:color w:val="000000"/>
      <w:u w:color="000000"/>
      <w:lang w:val="en-US"/>
    </w:rPr>
  </w:style>
  <w:style w:type="paragraph" w:styleId="CommentSubject">
    <w:name w:val="annotation subject"/>
    <w:basedOn w:val="CommentText"/>
    <w:next w:val="CommentText"/>
    <w:link w:val="CommentSubjectChar"/>
    <w:uiPriority w:val="99"/>
    <w:semiHidden/>
    <w:unhideWhenUsed/>
    <w:rsid w:val="00741EAD"/>
    <w:rPr>
      <w:b/>
      <w:bCs/>
    </w:rPr>
  </w:style>
  <w:style w:type="character" w:customStyle="1" w:styleId="CommentSubjectChar">
    <w:name w:val="Comment Subject Char"/>
    <w:basedOn w:val="CommentTextChar"/>
    <w:link w:val="CommentSubject"/>
    <w:uiPriority w:val="99"/>
    <w:semiHidden/>
    <w:rsid w:val="00741EAD"/>
    <w:rPr>
      <w:rFonts w:ascii="Cambria" w:eastAsia="Cambria" w:hAnsi="Cambria" w:cs="Cambria"/>
      <w:b/>
      <w:bCs/>
      <w:color w:val="000000"/>
      <w:u w:color="000000"/>
      <w:lang w:val="en-US"/>
    </w:rPr>
  </w:style>
  <w:style w:type="paragraph" w:styleId="Revision">
    <w:name w:val="Revision"/>
    <w:hidden/>
    <w:uiPriority w:val="99"/>
    <w:semiHidden/>
    <w:rsid w:val="008B41D7"/>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instagram.com/lionelbringuie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open.spotify.com/artist/78tOC3otzyHJOy6wO6j6hB?si=I6jRjRGeSLC9HqXBeb7ImA" TargetMode="Externa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0A1E22-98A1-974D-8CB4-53E9E80C9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485</Words>
  <Characters>3089</Characters>
  <Application>Microsoft Office Word</Application>
  <DocSecurity>0</DocSecurity>
  <Lines>51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Voke Afe</cp:lastModifiedBy>
  <cp:revision>17</cp:revision>
  <dcterms:created xsi:type="dcterms:W3CDTF">2023-06-01T10:32:00Z</dcterms:created>
  <dcterms:modified xsi:type="dcterms:W3CDTF">2026-09-07T16:05:00Z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