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0DEF" w14:textId="0008566F" w:rsidR="006126CB" w:rsidRPr="006126CB" w:rsidRDefault="00DF13AD" w:rsidP="006126CB">
      <w:pPr>
        <w:ind w:right="26"/>
        <w:rPr>
          <w:rFonts w:ascii="Arial" w:hAnsi="Arial"/>
          <w:bCs/>
          <w:sz w:val="34"/>
          <w:szCs w:val="34"/>
          <w:lang w:val="en-GB"/>
        </w:rPr>
      </w:pPr>
      <w:bookmarkStart w:id="0" w:name="OLE_LINK1"/>
      <w:r w:rsidRPr="00DF13AD">
        <w:rPr>
          <w:rFonts w:ascii="Arial" w:hAnsi="Arial"/>
          <w:bCs/>
          <w:sz w:val="40"/>
          <w:szCs w:val="40"/>
          <w:lang w:val="en-GB"/>
        </w:rPr>
        <w:t>Gavriel Heine</w:t>
      </w:r>
      <w:r w:rsidR="000E45C3">
        <w:rPr>
          <w:rFonts w:ascii="Arial" w:hAnsi="Arial"/>
          <w:bCs/>
          <w:sz w:val="40"/>
          <w:szCs w:val="40"/>
          <w:lang w:val="en-GB"/>
        </w:rPr>
        <w:br/>
      </w:r>
      <w:r w:rsidR="000E45C3">
        <w:rPr>
          <w:rFonts w:ascii="Arial" w:hAnsi="Arial"/>
          <w:bCs/>
          <w:sz w:val="34"/>
          <w:szCs w:val="34"/>
          <w:lang w:val="en-GB"/>
        </w:rPr>
        <w:t>Conductor</w:t>
      </w:r>
    </w:p>
    <w:p w14:paraId="4CD6F40A" w14:textId="77777777" w:rsidR="00D92F1A" w:rsidRDefault="00D92F1A">
      <w:pPr>
        <w:ind w:right="26"/>
        <w:rPr>
          <w:rFonts w:ascii="Arial" w:eastAsia="Arial" w:hAnsi="Arial" w:cs="Arial"/>
          <w:sz w:val="34"/>
          <w:szCs w:val="34"/>
        </w:rPr>
      </w:pPr>
    </w:p>
    <w:bookmarkEnd w:id="0"/>
    <w:p w14:paraId="7E502F8A" w14:textId="242E8BED" w:rsidR="00DF13AD" w:rsidRPr="00431BED" w:rsidRDefault="00DF13AD" w:rsidP="00DF13AD">
      <w:pPr>
        <w:jc w:val="both"/>
        <w:rPr>
          <w:rFonts w:ascii="Arial" w:eastAsia="Times New Roman" w:hAnsi="Arial" w:cs="Arial"/>
          <w:color w:val="817F73"/>
          <w:sz w:val="20"/>
          <w:szCs w:val="20"/>
        </w:rPr>
      </w:pPr>
      <w:r w:rsidRPr="00431BED">
        <w:rPr>
          <w:rFonts w:ascii="Arial" w:eastAsia="Times New Roman" w:hAnsi="Arial" w:cs="Arial"/>
          <w:sz w:val="20"/>
          <w:szCs w:val="20"/>
        </w:rPr>
        <w:t>Gavriel Heine’s repertoire encompasses a wide range of symphonic, ballet and operatic repertoire. At The Mariinsky Theatre alone he has conducted well over 800 performances. Both on tour with the Mariinsky Orchestra and Ballet, and as a guest conductor, he has performed across the world in some of the most prestigious opera houses, festivals and concert venues, including: London’s Royal Opera House Covent Garden; the Festspielhaus Baden-Baden in  Germany; Teatro Regio Torino in Italy, LAC in Lugano, Switzerland, the Gergiev Festival in Mikkeli, Finland, Moscow’s Bolshoi Theater and Saint Petersburg’s Mikhailovsky Theater; Tokyo’s Bunka Kaikan, the Tianjin Grand Theater in China; the Kennedy Center in Washington, D. C.,  the Dorothy Chandler Pavilion in Los Angeles, the Segerstrom Center in Costa Mesa, Zellerbach Hall in Berkeley, California, the Brooklyn Academy of Music in New York, and the Boston Opera House with Boston Ballet and Palacio de Bellas Artes in Mexico City.</w:t>
      </w:r>
    </w:p>
    <w:p w14:paraId="653CC3A8" w14:textId="77777777" w:rsidR="00DF13AD" w:rsidRPr="00431BED" w:rsidRDefault="00DF13AD" w:rsidP="00DF13AD">
      <w:pPr>
        <w:jc w:val="both"/>
        <w:rPr>
          <w:rFonts w:eastAsia="Times New Roman" w:cs="Times New Roman"/>
          <w:color w:val="817F73"/>
          <w:sz w:val="20"/>
          <w:szCs w:val="20"/>
        </w:rPr>
      </w:pPr>
    </w:p>
    <w:p w14:paraId="672AEE0D" w14:textId="77777777" w:rsidR="00DF13AD" w:rsidRPr="00431BED" w:rsidRDefault="00DF13AD" w:rsidP="00DF13AD">
      <w:pPr>
        <w:spacing w:line="312" w:lineRule="atLeast"/>
        <w:jc w:val="both"/>
        <w:textAlignment w:val="baseline"/>
        <w:rPr>
          <w:rFonts w:ascii="Arial" w:eastAsia="Times New Roman" w:hAnsi="Arial" w:cs="Arial"/>
          <w:sz w:val="20"/>
          <w:szCs w:val="20"/>
        </w:rPr>
      </w:pPr>
      <w:r w:rsidRPr="00431BED">
        <w:rPr>
          <w:rFonts w:ascii="Arial" w:eastAsia="Times New Roman" w:hAnsi="Arial" w:cs="Arial"/>
          <w:sz w:val="20"/>
          <w:szCs w:val="20"/>
          <w:bdr w:val="none" w:sz="0" w:space="0" w:color="auto" w:frame="1"/>
        </w:rPr>
        <w:t>His operatic repertoire includes Mozart’s </w:t>
      </w:r>
      <w:r w:rsidRPr="00431BED">
        <w:rPr>
          <w:rFonts w:ascii="Arial" w:eastAsia="Times New Roman" w:hAnsi="Arial" w:cs="Arial"/>
          <w:i/>
          <w:iCs/>
          <w:sz w:val="20"/>
          <w:szCs w:val="20"/>
          <w:bdr w:val="none" w:sz="0" w:space="0" w:color="auto" w:frame="1"/>
        </w:rPr>
        <w:t>Le nozze di Figaro </w:t>
      </w:r>
      <w:r w:rsidRPr="00431BED">
        <w:rPr>
          <w:rFonts w:ascii="Arial" w:eastAsia="Times New Roman" w:hAnsi="Arial" w:cs="Arial"/>
          <w:sz w:val="20"/>
          <w:szCs w:val="20"/>
          <w:bdr w:val="none" w:sz="0" w:space="0" w:color="auto" w:frame="1"/>
        </w:rPr>
        <w:t>and </w:t>
      </w:r>
      <w:r w:rsidRPr="00431BED">
        <w:rPr>
          <w:rFonts w:ascii="Arial" w:eastAsia="Times New Roman" w:hAnsi="Arial" w:cs="Arial"/>
          <w:i/>
          <w:iCs/>
          <w:sz w:val="20"/>
          <w:szCs w:val="20"/>
          <w:bdr w:val="none" w:sz="0" w:space="0" w:color="auto" w:frame="1"/>
        </w:rPr>
        <w:t>Die Zauberflöte</w:t>
      </w:r>
      <w:r w:rsidRPr="00431BED">
        <w:rPr>
          <w:rFonts w:ascii="Arial" w:eastAsia="Times New Roman" w:hAnsi="Arial" w:cs="Arial"/>
          <w:sz w:val="20"/>
          <w:szCs w:val="20"/>
          <w:bdr w:val="none" w:sz="0" w:space="0" w:color="auto" w:frame="1"/>
        </w:rPr>
        <w:t>; Rossini’s </w:t>
      </w:r>
      <w:r w:rsidRPr="00431BED">
        <w:rPr>
          <w:rFonts w:ascii="Arial" w:eastAsia="Times New Roman" w:hAnsi="Arial" w:cs="Arial"/>
          <w:i/>
          <w:iCs/>
          <w:sz w:val="20"/>
          <w:szCs w:val="20"/>
          <w:bdr w:val="none" w:sz="0" w:space="0" w:color="auto" w:frame="1"/>
        </w:rPr>
        <w:t>Il barbiere di Siviglia </w:t>
      </w:r>
      <w:r w:rsidRPr="00431BED">
        <w:rPr>
          <w:rFonts w:ascii="Arial" w:eastAsia="Times New Roman" w:hAnsi="Arial" w:cs="Arial"/>
          <w:sz w:val="20"/>
          <w:szCs w:val="20"/>
          <w:bdr w:val="none" w:sz="0" w:space="0" w:color="auto" w:frame="1"/>
        </w:rPr>
        <w:t>and </w:t>
      </w:r>
      <w:r w:rsidRPr="00431BED">
        <w:rPr>
          <w:rFonts w:ascii="Arial" w:eastAsia="Times New Roman" w:hAnsi="Arial" w:cs="Arial"/>
          <w:i/>
          <w:iCs/>
          <w:sz w:val="20"/>
          <w:szCs w:val="20"/>
          <w:bdr w:val="none" w:sz="0" w:space="0" w:color="auto" w:frame="1"/>
        </w:rPr>
        <w:t>La Cenerentola</w:t>
      </w:r>
      <w:r w:rsidRPr="00431BED">
        <w:rPr>
          <w:rFonts w:ascii="Arial" w:eastAsia="Times New Roman" w:hAnsi="Arial" w:cs="Arial"/>
          <w:sz w:val="20"/>
          <w:szCs w:val="20"/>
          <w:bdr w:val="none" w:sz="0" w:space="0" w:color="auto" w:frame="1"/>
        </w:rPr>
        <w:t>; Verdi’s </w:t>
      </w:r>
      <w:r w:rsidRPr="00431BED">
        <w:rPr>
          <w:rFonts w:ascii="Arial" w:eastAsia="Times New Roman" w:hAnsi="Arial" w:cs="Arial"/>
          <w:i/>
          <w:iCs/>
          <w:sz w:val="20"/>
          <w:szCs w:val="20"/>
          <w:bdr w:val="none" w:sz="0" w:space="0" w:color="auto" w:frame="1"/>
        </w:rPr>
        <w:t>Macbeth</w:t>
      </w:r>
      <w:r w:rsidRPr="00431BED">
        <w:rPr>
          <w:rFonts w:ascii="Arial" w:eastAsia="Times New Roman" w:hAnsi="Arial" w:cs="Arial"/>
          <w:sz w:val="20"/>
          <w:szCs w:val="20"/>
          <w:bdr w:val="none" w:sz="0" w:space="0" w:color="auto" w:frame="1"/>
        </w:rPr>
        <w:t>, </w:t>
      </w:r>
      <w:r w:rsidRPr="00431BED">
        <w:rPr>
          <w:rFonts w:ascii="Arial" w:eastAsia="Times New Roman" w:hAnsi="Arial" w:cs="Arial"/>
          <w:i/>
          <w:iCs/>
          <w:sz w:val="20"/>
          <w:szCs w:val="20"/>
          <w:bdr w:val="none" w:sz="0" w:space="0" w:color="auto" w:frame="1"/>
        </w:rPr>
        <w:t>La forza del destino</w:t>
      </w:r>
      <w:r w:rsidRPr="00431BED">
        <w:rPr>
          <w:rFonts w:ascii="Arial" w:eastAsia="Times New Roman" w:hAnsi="Arial" w:cs="Arial"/>
          <w:sz w:val="20"/>
          <w:szCs w:val="20"/>
          <w:bdr w:val="none" w:sz="0" w:space="0" w:color="auto" w:frame="1"/>
        </w:rPr>
        <w:t>and </w:t>
      </w:r>
      <w:r w:rsidRPr="00431BED">
        <w:rPr>
          <w:rFonts w:ascii="Arial" w:eastAsia="Times New Roman" w:hAnsi="Arial" w:cs="Arial"/>
          <w:i/>
          <w:iCs/>
          <w:sz w:val="20"/>
          <w:szCs w:val="20"/>
          <w:bdr w:val="none" w:sz="0" w:space="0" w:color="auto" w:frame="1"/>
        </w:rPr>
        <w:t>Otello</w:t>
      </w:r>
      <w:r w:rsidRPr="00431BED">
        <w:rPr>
          <w:rFonts w:ascii="Arial" w:eastAsia="Times New Roman" w:hAnsi="Arial" w:cs="Arial"/>
          <w:sz w:val="20"/>
          <w:szCs w:val="20"/>
          <w:bdr w:val="none" w:sz="0" w:space="0" w:color="auto" w:frame="1"/>
        </w:rPr>
        <w:t>, Puccini’s </w:t>
      </w:r>
      <w:r w:rsidRPr="00431BED">
        <w:rPr>
          <w:rFonts w:ascii="Arial" w:eastAsia="Times New Roman" w:hAnsi="Arial" w:cs="Arial"/>
          <w:i/>
          <w:iCs/>
          <w:sz w:val="20"/>
          <w:szCs w:val="20"/>
          <w:bdr w:val="none" w:sz="0" w:space="0" w:color="auto" w:frame="1"/>
        </w:rPr>
        <w:t>La bohème</w:t>
      </w:r>
      <w:r w:rsidRPr="00431BED">
        <w:rPr>
          <w:rFonts w:ascii="Arial" w:eastAsia="Times New Roman" w:hAnsi="Arial" w:cs="Arial"/>
          <w:sz w:val="20"/>
          <w:szCs w:val="20"/>
          <w:bdr w:val="none" w:sz="0" w:space="0" w:color="auto" w:frame="1"/>
        </w:rPr>
        <w:t>, </w:t>
      </w:r>
      <w:r w:rsidRPr="00431BED">
        <w:rPr>
          <w:rFonts w:ascii="Arial" w:eastAsia="Times New Roman" w:hAnsi="Arial" w:cs="Arial"/>
          <w:i/>
          <w:iCs/>
          <w:sz w:val="20"/>
          <w:szCs w:val="20"/>
          <w:bdr w:val="none" w:sz="0" w:space="0" w:color="auto" w:frame="1"/>
        </w:rPr>
        <w:t>Madama Butterfly</w:t>
      </w:r>
      <w:r w:rsidRPr="00431BED">
        <w:rPr>
          <w:rFonts w:ascii="Arial" w:eastAsia="Times New Roman" w:hAnsi="Arial" w:cs="Arial"/>
          <w:sz w:val="20"/>
          <w:szCs w:val="20"/>
          <w:bdr w:val="none" w:sz="0" w:space="0" w:color="auto" w:frame="1"/>
        </w:rPr>
        <w:t>, </w:t>
      </w:r>
      <w:r w:rsidRPr="00431BED">
        <w:rPr>
          <w:rFonts w:ascii="Arial" w:eastAsia="Times New Roman" w:hAnsi="Arial" w:cs="Arial"/>
          <w:i/>
          <w:iCs/>
          <w:sz w:val="20"/>
          <w:szCs w:val="20"/>
          <w:bdr w:val="none" w:sz="0" w:space="0" w:color="auto" w:frame="1"/>
        </w:rPr>
        <w:t>Tosca</w:t>
      </w:r>
      <w:r w:rsidRPr="00431BED">
        <w:rPr>
          <w:rFonts w:ascii="Arial" w:eastAsia="Times New Roman" w:hAnsi="Arial" w:cs="Arial"/>
          <w:sz w:val="20"/>
          <w:szCs w:val="20"/>
          <w:bdr w:val="none" w:sz="0" w:space="0" w:color="auto" w:frame="1"/>
        </w:rPr>
        <w:t>, and </w:t>
      </w:r>
      <w:r w:rsidRPr="00431BED">
        <w:rPr>
          <w:rFonts w:ascii="Arial" w:eastAsia="Times New Roman" w:hAnsi="Arial" w:cs="Arial"/>
          <w:i/>
          <w:iCs/>
          <w:sz w:val="20"/>
          <w:szCs w:val="20"/>
          <w:bdr w:val="none" w:sz="0" w:space="0" w:color="auto" w:frame="1"/>
        </w:rPr>
        <w:t>Il Trittico</w:t>
      </w:r>
      <w:r w:rsidRPr="00431BED">
        <w:rPr>
          <w:rFonts w:ascii="Arial" w:eastAsia="Times New Roman" w:hAnsi="Arial" w:cs="Arial"/>
          <w:sz w:val="20"/>
          <w:szCs w:val="20"/>
          <w:bdr w:val="none" w:sz="0" w:space="0" w:color="auto" w:frame="1"/>
        </w:rPr>
        <w:t>; Leoncavallo’s </w:t>
      </w:r>
      <w:r w:rsidRPr="00431BED">
        <w:rPr>
          <w:rFonts w:ascii="Arial" w:eastAsia="Times New Roman" w:hAnsi="Arial" w:cs="Arial"/>
          <w:i/>
          <w:iCs/>
          <w:sz w:val="20"/>
          <w:szCs w:val="20"/>
          <w:bdr w:val="none" w:sz="0" w:space="0" w:color="auto" w:frame="1"/>
        </w:rPr>
        <w:t>Pagliacci</w:t>
      </w:r>
      <w:r w:rsidRPr="00431BED">
        <w:rPr>
          <w:rFonts w:ascii="Arial" w:eastAsia="Times New Roman" w:hAnsi="Arial" w:cs="Arial"/>
          <w:sz w:val="20"/>
          <w:szCs w:val="20"/>
          <w:bdr w:val="none" w:sz="0" w:space="0" w:color="auto" w:frame="1"/>
        </w:rPr>
        <w:t>; Bizet’s </w:t>
      </w:r>
      <w:r w:rsidRPr="00431BED">
        <w:rPr>
          <w:rFonts w:ascii="Arial" w:eastAsia="Times New Roman" w:hAnsi="Arial" w:cs="Arial"/>
          <w:i/>
          <w:iCs/>
          <w:sz w:val="20"/>
          <w:szCs w:val="20"/>
          <w:bdr w:val="none" w:sz="0" w:space="0" w:color="auto" w:frame="1"/>
        </w:rPr>
        <w:t>Carmen</w:t>
      </w:r>
      <w:r w:rsidRPr="00431BED">
        <w:rPr>
          <w:rFonts w:ascii="Arial" w:eastAsia="Times New Roman" w:hAnsi="Arial" w:cs="Arial"/>
          <w:sz w:val="20"/>
          <w:szCs w:val="20"/>
          <w:bdr w:val="none" w:sz="0" w:space="0" w:color="auto" w:frame="1"/>
        </w:rPr>
        <w:t>; Tchaikovsky’s </w:t>
      </w:r>
      <w:r w:rsidRPr="00431BED">
        <w:rPr>
          <w:rFonts w:ascii="Arial" w:eastAsia="Times New Roman" w:hAnsi="Arial" w:cs="Arial"/>
          <w:i/>
          <w:iCs/>
          <w:sz w:val="20"/>
          <w:szCs w:val="20"/>
          <w:bdr w:val="none" w:sz="0" w:space="0" w:color="auto" w:frame="1"/>
        </w:rPr>
        <w:t>Eugene Onegin</w:t>
      </w:r>
      <w:r w:rsidRPr="00431BED">
        <w:rPr>
          <w:rFonts w:ascii="Arial" w:eastAsia="Times New Roman" w:hAnsi="Arial" w:cs="Arial"/>
          <w:sz w:val="20"/>
          <w:szCs w:val="20"/>
          <w:bdr w:val="none" w:sz="0" w:space="0" w:color="auto" w:frame="1"/>
        </w:rPr>
        <w:t>; Rimsky-Korsakov’s </w:t>
      </w:r>
      <w:r w:rsidRPr="00431BED">
        <w:rPr>
          <w:rFonts w:ascii="Arial" w:eastAsia="Times New Roman" w:hAnsi="Arial" w:cs="Arial"/>
          <w:i/>
          <w:iCs/>
          <w:sz w:val="20"/>
          <w:szCs w:val="20"/>
          <w:bdr w:val="none" w:sz="0" w:space="0" w:color="auto" w:frame="1"/>
        </w:rPr>
        <w:t>The Tale of the Tsar Saltan</w:t>
      </w:r>
      <w:r w:rsidRPr="00431BED">
        <w:rPr>
          <w:rFonts w:ascii="Arial" w:eastAsia="Times New Roman" w:hAnsi="Arial" w:cs="Arial"/>
          <w:sz w:val="20"/>
          <w:szCs w:val="20"/>
          <w:bdr w:val="none" w:sz="0" w:space="0" w:color="auto" w:frame="1"/>
        </w:rPr>
        <w:t>; Prokofiev’s </w:t>
      </w:r>
      <w:r w:rsidRPr="00431BED">
        <w:rPr>
          <w:rFonts w:ascii="Arial" w:eastAsia="Times New Roman" w:hAnsi="Arial" w:cs="Arial"/>
          <w:i/>
          <w:iCs/>
          <w:sz w:val="20"/>
          <w:szCs w:val="20"/>
          <w:bdr w:val="none" w:sz="0" w:space="0" w:color="auto" w:frame="1"/>
        </w:rPr>
        <w:t>The Love for Three Oranges</w:t>
      </w:r>
      <w:r w:rsidRPr="00431BED">
        <w:rPr>
          <w:rFonts w:ascii="Arial" w:eastAsia="Times New Roman" w:hAnsi="Arial" w:cs="Arial"/>
          <w:sz w:val="20"/>
          <w:szCs w:val="20"/>
          <w:bdr w:val="none" w:sz="0" w:space="0" w:color="auto" w:frame="1"/>
        </w:rPr>
        <w:t>; Debussy’s </w:t>
      </w:r>
      <w:r w:rsidRPr="00431BED">
        <w:rPr>
          <w:rFonts w:ascii="Arial" w:eastAsia="Times New Roman" w:hAnsi="Arial" w:cs="Arial"/>
          <w:i/>
          <w:iCs/>
          <w:sz w:val="20"/>
          <w:szCs w:val="20"/>
          <w:bdr w:val="none" w:sz="0" w:space="0" w:color="auto" w:frame="1"/>
        </w:rPr>
        <w:t>Pelléas et Mélisande</w:t>
      </w:r>
      <w:r w:rsidRPr="00431BED">
        <w:rPr>
          <w:rFonts w:ascii="Arial" w:eastAsia="Times New Roman" w:hAnsi="Arial" w:cs="Arial"/>
          <w:sz w:val="20"/>
          <w:szCs w:val="20"/>
          <w:bdr w:val="none" w:sz="0" w:space="0" w:color="auto" w:frame="1"/>
        </w:rPr>
        <w:t>; Léhar’s </w:t>
      </w:r>
      <w:r w:rsidRPr="00431BED">
        <w:rPr>
          <w:rFonts w:ascii="Arial" w:eastAsia="Times New Roman" w:hAnsi="Arial" w:cs="Arial"/>
          <w:i/>
          <w:iCs/>
          <w:sz w:val="20"/>
          <w:szCs w:val="20"/>
          <w:bdr w:val="none" w:sz="0" w:space="0" w:color="auto" w:frame="1"/>
        </w:rPr>
        <w:t>Die lustige Witwe</w:t>
      </w:r>
      <w:r w:rsidRPr="00431BED">
        <w:rPr>
          <w:rFonts w:ascii="Arial" w:eastAsia="Times New Roman" w:hAnsi="Arial" w:cs="Arial"/>
          <w:sz w:val="20"/>
          <w:szCs w:val="20"/>
          <w:bdr w:val="none" w:sz="0" w:space="0" w:color="auto" w:frame="1"/>
        </w:rPr>
        <w:t>; Janacek’s </w:t>
      </w:r>
      <w:r w:rsidRPr="00431BED">
        <w:rPr>
          <w:rFonts w:ascii="Arial" w:eastAsia="Times New Roman" w:hAnsi="Arial" w:cs="Arial"/>
          <w:i/>
          <w:iCs/>
          <w:sz w:val="20"/>
          <w:szCs w:val="20"/>
          <w:bdr w:val="none" w:sz="0" w:space="0" w:color="auto" w:frame="1"/>
        </w:rPr>
        <w:t>Jenůfa</w:t>
      </w:r>
      <w:r w:rsidRPr="00431BED">
        <w:rPr>
          <w:rFonts w:ascii="Arial" w:eastAsia="Times New Roman" w:hAnsi="Arial" w:cs="Arial"/>
          <w:sz w:val="20"/>
          <w:szCs w:val="20"/>
          <w:bdr w:val="none" w:sz="0" w:space="0" w:color="auto" w:frame="1"/>
        </w:rPr>
        <w:t>; Ravel’s </w:t>
      </w:r>
      <w:r w:rsidRPr="00431BED">
        <w:rPr>
          <w:rFonts w:ascii="Arial" w:eastAsia="Times New Roman" w:hAnsi="Arial" w:cs="Arial"/>
          <w:i/>
          <w:iCs/>
          <w:sz w:val="20"/>
          <w:szCs w:val="20"/>
          <w:bdr w:val="none" w:sz="0" w:space="0" w:color="auto" w:frame="1"/>
        </w:rPr>
        <w:t>L’heure Espagnole</w:t>
      </w:r>
      <w:r w:rsidRPr="00431BED">
        <w:rPr>
          <w:rFonts w:ascii="Arial" w:eastAsia="Times New Roman" w:hAnsi="Arial" w:cs="Arial"/>
          <w:sz w:val="20"/>
          <w:szCs w:val="20"/>
          <w:bdr w:val="none" w:sz="0" w:space="0" w:color="auto" w:frame="1"/>
        </w:rPr>
        <w:t>; Bartok’s </w:t>
      </w:r>
      <w:r w:rsidRPr="00431BED">
        <w:rPr>
          <w:rFonts w:ascii="Arial" w:eastAsia="Times New Roman" w:hAnsi="Arial" w:cs="Arial"/>
          <w:i/>
          <w:iCs/>
          <w:sz w:val="20"/>
          <w:szCs w:val="20"/>
          <w:bdr w:val="none" w:sz="0" w:space="0" w:color="auto" w:frame="1"/>
        </w:rPr>
        <w:t>Bluebeard’s Castle; </w:t>
      </w:r>
      <w:r w:rsidRPr="00431BED">
        <w:rPr>
          <w:rFonts w:ascii="Arial" w:eastAsia="Times New Roman" w:hAnsi="Arial" w:cs="Arial"/>
          <w:sz w:val="20"/>
          <w:szCs w:val="20"/>
          <w:bdr w:val="none" w:sz="0" w:space="0" w:color="auto" w:frame="1"/>
        </w:rPr>
        <w:t> Britten’s </w:t>
      </w:r>
      <w:r w:rsidRPr="00431BED">
        <w:rPr>
          <w:rFonts w:ascii="Arial" w:eastAsia="Times New Roman" w:hAnsi="Arial" w:cs="Arial"/>
          <w:i/>
          <w:iCs/>
          <w:sz w:val="20"/>
          <w:szCs w:val="20"/>
          <w:bdr w:val="none" w:sz="0" w:space="0" w:color="auto" w:frame="1"/>
        </w:rPr>
        <w:t>The Turn of the Screw </w:t>
      </w:r>
      <w:r w:rsidRPr="00431BED">
        <w:rPr>
          <w:rFonts w:ascii="Arial" w:eastAsia="Times New Roman" w:hAnsi="Arial" w:cs="Arial"/>
          <w:sz w:val="20"/>
          <w:szCs w:val="20"/>
          <w:bdr w:val="none" w:sz="0" w:space="0" w:color="auto" w:frame="1"/>
        </w:rPr>
        <w:t>and Menotti's </w:t>
      </w:r>
      <w:r w:rsidRPr="00431BED">
        <w:rPr>
          <w:rFonts w:ascii="Arial" w:eastAsia="Times New Roman" w:hAnsi="Arial" w:cs="Arial"/>
          <w:i/>
          <w:iCs/>
          <w:sz w:val="20"/>
          <w:szCs w:val="20"/>
          <w:bdr w:val="none" w:sz="0" w:space="0" w:color="auto" w:frame="1"/>
        </w:rPr>
        <w:t>The Medium</w:t>
      </w:r>
      <w:r w:rsidRPr="00431BED">
        <w:rPr>
          <w:rFonts w:ascii="Arial" w:eastAsia="Times New Roman" w:hAnsi="Arial" w:cs="Arial"/>
          <w:sz w:val="20"/>
          <w:szCs w:val="20"/>
          <w:bdr w:val="none" w:sz="0" w:space="0" w:color="auto" w:frame="1"/>
        </w:rPr>
        <w:t>, amongst others. </w:t>
      </w:r>
    </w:p>
    <w:p w14:paraId="74FB69BF" w14:textId="77777777" w:rsidR="00DF13AD" w:rsidRPr="00431BED" w:rsidRDefault="00DF13AD" w:rsidP="00DF13AD">
      <w:pPr>
        <w:spacing w:line="312" w:lineRule="atLeast"/>
        <w:jc w:val="both"/>
        <w:textAlignment w:val="baseline"/>
        <w:rPr>
          <w:rFonts w:ascii="Arial" w:eastAsia="Times New Roman" w:hAnsi="Arial" w:cs="Arial"/>
          <w:sz w:val="20"/>
          <w:szCs w:val="20"/>
        </w:rPr>
      </w:pPr>
      <w:r w:rsidRPr="00431BED">
        <w:rPr>
          <w:rFonts w:ascii="Arial" w:eastAsia="Times New Roman" w:hAnsi="Arial" w:cs="Arial"/>
          <w:sz w:val="20"/>
          <w:szCs w:val="20"/>
        </w:rPr>
        <w:t> </w:t>
      </w:r>
    </w:p>
    <w:p w14:paraId="6C14BC58" w14:textId="77777777" w:rsidR="00DF13AD" w:rsidRPr="00431BED" w:rsidRDefault="00DF13AD" w:rsidP="00DF13AD">
      <w:pPr>
        <w:spacing w:line="312" w:lineRule="atLeast"/>
        <w:jc w:val="both"/>
        <w:textAlignment w:val="baseline"/>
        <w:rPr>
          <w:rFonts w:ascii="Arial" w:eastAsia="Times New Roman" w:hAnsi="Arial" w:cs="Arial"/>
          <w:sz w:val="20"/>
          <w:szCs w:val="20"/>
        </w:rPr>
      </w:pPr>
      <w:r w:rsidRPr="00431BED">
        <w:rPr>
          <w:rFonts w:ascii="Arial" w:eastAsia="Times New Roman" w:hAnsi="Arial" w:cs="Arial"/>
          <w:sz w:val="20"/>
          <w:szCs w:val="20"/>
          <w:bdr w:val="none" w:sz="0" w:space="0" w:color="auto" w:frame="1"/>
        </w:rPr>
        <w:t>His equally varied ballet repertoire includes </w:t>
      </w:r>
      <w:r w:rsidRPr="00431BED">
        <w:rPr>
          <w:rFonts w:ascii="Arial" w:eastAsia="Times New Roman" w:hAnsi="Arial" w:cs="Arial"/>
          <w:i/>
          <w:iCs/>
          <w:sz w:val="20"/>
          <w:szCs w:val="20"/>
          <w:bdr w:val="none" w:sz="0" w:space="0" w:color="auto" w:frame="1"/>
        </w:rPr>
        <w:t xml:space="preserve">The Nutcracker, Sleeping Beauty, Swan Lake, Raymonda, La Bayadere, Le Corsaire, La Sylphide, Don Quixote, Paquita Grand Pas, Sylvia, The Firebird, Petrushka, Rite of Spring, Le Spectre de la Rose, The Swan, Chopiniana, Carnaval, Scheherazade, Romeo and Juliet, Cinderella, Apollo, A Midsummer Night's Dream, Jewels, Serenade, Symphony in C, Suite en blanc, Le reveil de Flore, Bambi/In the Jungle, Inside the Lines, Push Comes to Shove </w:t>
      </w:r>
      <w:r w:rsidRPr="00431BED">
        <w:rPr>
          <w:rFonts w:ascii="Arial" w:eastAsia="Times New Roman" w:hAnsi="Arial" w:cs="Arial"/>
          <w:sz w:val="20"/>
          <w:szCs w:val="20"/>
          <w:bdr w:val="none" w:sz="0" w:space="0" w:color="auto" w:frame="1"/>
        </w:rPr>
        <w:t xml:space="preserve">and </w:t>
      </w:r>
      <w:r w:rsidRPr="00431BED">
        <w:rPr>
          <w:rFonts w:ascii="Arial" w:eastAsia="Times New Roman" w:hAnsi="Arial" w:cs="Arial"/>
          <w:i/>
          <w:iCs/>
          <w:sz w:val="20"/>
          <w:szCs w:val="20"/>
          <w:bdr w:val="none" w:sz="0" w:space="0" w:color="auto" w:frame="1"/>
        </w:rPr>
        <w:t>Le jeune homme et la mort, Paquita </w:t>
      </w:r>
      <w:r w:rsidRPr="00431BED">
        <w:rPr>
          <w:rFonts w:ascii="Arial" w:eastAsia="Times New Roman" w:hAnsi="Arial" w:cs="Arial"/>
          <w:sz w:val="20"/>
          <w:szCs w:val="20"/>
          <w:bdr w:val="none" w:sz="0" w:space="0" w:color="auto" w:frame="1"/>
        </w:rPr>
        <w:t>(Smekalov/Burlaka full 3-act version).</w:t>
      </w:r>
    </w:p>
    <w:p w14:paraId="352C303F" w14:textId="1A065A22" w:rsidR="00D92F1A" w:rsidRPr="00DF13AD" w:rsidRDefault="00A70E90" w:rsidP="006126CB">
      <w:pPr>
        <w:jc w:val="both"/>
        <w:rPr>
          <w:rFonts w:ascii="Arial" w:eastAsia="Calibri" w:hAnsi="Arial" w:cs="Arial"/>
          <w:color w:val="333333"/>
          <w:u w:color="333333"/>
          <w:shd w:val="clear" w:color="auto" w:fill="FFFFFF"/>
        </w:rPr>
      </w:pPr>
      <w:r w:rsidRPr="00DF13AD">
        <w:rPr>
          <w:rFonts w:ascii="Arial" w:eastAsia="Calibri" w:hAnsi="Arial" w:cs="Arial"/>
          <w:color w:val="333333"/>
          <w:shd w:val="clear" w:color="auto" w:fill="FFFFFF"/>
        </w:rPr>
        <w:t xml:space="preserve"> </w:t>
      </w:r>
    </w:p>
    <w:p w14:paraId="7B43A4D8" w14:textId="77777777" w:rsidR="00D92F1A" w:rsidRPr="00DF13AD" w:rsidRDefault="00D92F1A">
      <w:pPr>
        <w:rPr>
          <w:rFonts w:ascii="Arial" w:hAnsi="Arial" w:cs="Arial"/>
        </w:rPr>
      </w:pPr>
    </w:p>
    <w:sectPr w:rsidR="00D92F1A" w:rsidRPr="00DF13AD">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AA34B" w14:textId="77777777" w:rsidR="00E62B2B" w:rsidRDefault="00E62B2B">
      <w:r>
        <w:separator/>
      </w:r>
    </w:p>
  </w:endnote>
  <w:endnote w:type="continuationSeparator" w:id="0">
    <w:p w14:paraId="12E82626" w14:textId="77777777" w:rsidR="00E62B2B" w:rsidRDefault="00E6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30F82391"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431BED">
      <w:rPr>
        <w:rFonts w:ascii="Arial" w:hAnsi="Arial"/>
        <w:sz w:val="20"/>
        <w:szCs w:val="20"/>
      </w:rPr>
      <w:t>3</w:t>
    </w:r>
    <w:r w:rsidR="00DF13AD">
      <w:rPr>
        <w:rFonts w:ascii="Arial" w:hAnsi="Arial"/>
        <w:sz w:val="20"/>
        <w:szCs w:val="20"/>
      </w:rPr>
      <w:t>/</w:t>
    </w:r>
    <w:r w:rsidR="00AA369D">
      <w:rPr>
        <w:rFonts w:ascii="Arial" w:hAnsi="Arial"/>
        <w:sz w:val="20"/>
        <w:szCs w:val="20"/>
      </w:rPr>
      <w:t>2</w:t>
    </w:r>
    <w:r w:rsidR="00431BED">
      <w:rPr>
        <w:rFonts w:ascii="Arial" w:hAnsi="Arial"/>
        <w:sz w:val="20"/>
        <w:szCs w:val="20"/>
      </w:rPr>
      <w:t>4</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FDF13" w14:textId="77777777" w:rsidR="00E62B2B" w:rsidRDefault="00E62B2B">
      <w:r>
        <w:separator/>
      </w:r>
    </w:p>
  </w:footnote>
  <w:footnote w:type="continuationSeparator" w:id="0">
    <w:p w14:paraId="23F37048" w14:textId="77777777" w:rsidR="00E62B2B" w:rsidRDefault="00E62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E45C3"/>
    <w:rsid w:val="00195DB5"/>
    <w:rsid w:val="003D0201"/>
    <w:rsid w:val="00431BED"/>
    <w:rsid w:val="006126CB"/>
    <w:rsid w:val="00A70E90"/>
    <w:rsid w:val="00AA369D"/>
    <w:rsid w:val="00B55D10"/>
    <w:rsid w:val="00D92F1A"/>
    <w:rsid w:val="00DF13AD"/>
    <w:rsid w:val="00E62B2B"/>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883575">
      <w:bodyDiv w:val="1"/>
      <w:marLeft w:val="0"/>
      <w:marRight w:val="0"/>
      <w:marTop w:val="0"/>
      <w:marBottom w:val="0"/>
      <w:divBdr>
        <w:top w:val="none" w:sz="0" w:space="0" w:color="auto"/>
        <w:left w:val="none" w:sz="0" w:space="0" w:color="auto"/>
        <w:bottom w:val="none" w:sz="0" w:space="0" w:color="auto"/>
        <w:right w:val="none" w:sz="0" w:space="0" w:color="auto"/>
      </w:divBdr>
    </w:div>
    <w:div w:id="1255014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3</cp:revision>
  <dcterms:created xsi:type="dcterms:W3CDTF">2022-04-29T14:26:00Z</dcterms:created>
  <dcterms:modified xsi:type="dcterms:W3CDTF">2023-08-31T15:20:00Z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