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spacing w:after="0" w:line="240" w:lineRule="auto"/>
        <w:rPr>
          <w:sz w:val="16"/>
          <w:szCs w:val="16"/>
        </w:rPr>
      </w:pPr>
    </w:p>
    <w:p>
      <w:pPr>
        <w:pStyle w:val="Body A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32"/>
          <w:szCs w:val="32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40"/>
          <w:szCs w:val="40"/>
          <w:rtl w:val="0"/>
          <w:lang w:val="fr-FR"/>
        </w:rPr>
        <w:t>Yuriy Hadzetskyy</w:t>
      </w:r>
      <w:r>
        <w:rPr>
          <w:rFonts w:ascii="Arial" w:cs="Arial" w:hAnsi="Arial" w:eastAsia="Arial"/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sz w:val="32"/>
          <w:szCs w:val="32"/>
          <w:rtl w:val="0"/>
          <w:lang w:val="en-US"/>
        </w:rPr>
        <w:t>Ba</w:t>
      </w:r>
      <w:r>
        <w:rPr>
          <w:rFonts w:ascii="Arial" w:hAnsi="Arial"/>
          <w:sz w:val="32"/>
          <w:szCs w:val="32"/>
          <w:rtl w:val="0"/>
          <w:lang w:val="fr-FR"/>
        </w:rPr>
        <w:t>ritone</w:t>
      </w:r>
    </w:p>
    <w:p>
      <w:pPr>
        <w:pStyle w:val="Body A"/>
        <w:shd w:val="clear" w:color="auto" w:fill="ffffff"/>
        <w:spacing w:after="0" w:line="240" w:lineRule="auto"/>
        <w:rPr>
          <w:rFonts w:ascii="Arial" w:cs="Arial" w:hAnsi="Arial" w:eastAsia="Arial"/>
        </w:rPr>
      </w:pP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Ukrainian baritone Yuriy Hadzetskyy was a member of the renowned International Opera Studio of Opernhaus Z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ü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rich during the 2019/20 and 2020/21 seasons during which time he appeared as Graf Dominik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Arabella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in a new production by Robert Carsen under Fabio Luisi, Geisterkind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Coraline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(Turnage), Ratgeber/ Wildschwein/ Riese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Das tapfere Schneiderlein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(Mitterer) and Procolo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Viva la Mamma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(Donizetti) among others. Last 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season, Hadzetskyy returned to Opernhaus Z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ü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rich as Mercutio in Ted Huffman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new 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production of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Rom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o et Juliette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under Roberto For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pt-PT"/>
          <w14:textFill>
            <w14:solidFill>
              <w14:srgbClr w14:val="212121"/>
            </w14:solidFill>
          </w14:textFill>
        </w:rPr>
        <w:t>s Veses.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Yuriy Hadzetskyy studied at the Mykola Lysenko Lviv National Music Academy and the 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Opera Academy Young Talent Development Programme of the Teatr Wielki, Polish National Opera in Warsaw. He has also taken part in a number of prestigious training programmes including the 2019 Voice Residency of the Acad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mie du Festival d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Aix en-Provence, the 2021 Accademia Rossiniana 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“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Alberto Zedda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”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at the Rossini Opera Festival in Pesaro and he was awarded a scholarship to participate in the Lied Academy of the International Song Centre Heidelberg under the artistic direction of Thomas Hampson. In 2023, he was a 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participant in Carnegie Hall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elite SongStudio Program under the leadership of 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world-renowned soprano Ren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e Fleming.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Hadzetskyy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operatic experience outside of Zurich includes his debut as Don Giovanni at Lviv National Opera, Il Conte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Le nozze di Figaro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a-DK"/>
          <w14:textFill>
            <w14:solidFill>
              <w14:srgbClr w14:val="212121"/>
            </w14:solidFill>
          </w14:textFill>
        </w:rPr>
        <w:t xml:space="preserve"> at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Lyric Opera Studio Weimar, Achilla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Giulio Cesare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at Grand Theatre Pozna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ń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, Dandini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La Cenerentola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 at Wroclaw Opera, and Barone di Trombonok in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Il Viaggio a Reims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a-DK"/>
          <w14:textFill>
            <w14:solidFill>
              <w14:srgbClr w14:val="212121"/>
            </w14:solidFill>
          </w14:textFill>
        </w:rPr>
        <w:t xml:space="preserve"> at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Rossini Opera Festival Pesaro. Most recently, Yuriy has debuted at Palau de les Arts Reina Sof</w:t>
      </w: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í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a as 2. Handwerksbursch in Berg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Wozzeck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in a production by Andreas Kriegenburg led by James Gaffigan and at Bregenzer Festpiele as Albert in Massenet</w:t>
      </w:r>
      <w:r>
        <w:rPr>
          <w:rFonts w:ascii="Arial Unicode MS" w:hAnsi="Arial Unicode MS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Werther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in a production by Jana Vetten</w:t>
      </w:r>
      <w:r>
        <w:rPr>
          <w:rFonts w:ascii="Arial" w:hAnsi="Arial"/>
          <w:b w:val="1"/>
          <w:bCs w:val="1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under conductor Claire Levacher.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</w:pP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Yuriy Hadzetskyy is a laureate of several high-profile singing competitions, including the Queen Elisabeth Competition in Brussels, Veronica Dunne International Singing competition in Dublin, International Stanislaw Moniuszko Vocal Competition in Warsaw and </w:t>
      </w:r>
      <w:r>
        <w:rPr>
          <w:rFonts w:ascii="Arial" w:hAnsi="Arial"/>
          <w:outline w:val="0"/>
          <w:color w:val="212121"/>
          <w:sz w:val="22"/>
          <w:szCs w:val="22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International Art Song Competition in Stuttgart.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tl w:val="0"/>
        <w:lang w:val="en-US"/>
      </w:rPr>
      <w:t>2023/24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tab/>
    </w:r>
    <w:r>
      <w:drawing xmlns:a="http://schemas.openxmlformats.org/drawingml/2006/main">
        <wp:inline distT="0" distB="0" distL="0" distR="0">
          <wp:extent cx="1798320" cy="67691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