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3940" w14:textId="77777777" w:rsidR="00102DD1" w:rsidRPr="00263A67" w:rsidRDefault="00102DD1" w:rsidP="00102DD1">
      <w:pPr>
        <w:pStyle w:val="NoSpacing"/>
        <w:rPr>
          <w:rFonts w:ascii="Arial" w:hAnsi="Arial" w:cs="Arial"/>
          <w:sz w:val="40"/>
          <w:szCs w:val="40"/>
          <w:shd w:val="clear" w:color="auto" w:fill="FFFFFF"/>
          <w:lang w:eastAsia="en-GB"/>
        </w:rPr>
      </w:pPr>
      <w:r w:rsidRPr="00263A67">
        <w:rPr>
          <w:rFonts w:ascii="Arial" w:hAnsi="Arial" w:cs="Arial"/>
          <w:sz w:val="40"/>
          <w:szCs w:val="40"/>
          <w:shd w:val="clear" w:color="auto" w:fill="FFFFFF"/>
          <w:lang w:eastAsia="en-GB"/>
        </w:rPr>
        <w:t xml:space="preserve">Greer Grimsley </w:t>
      </w:r>
    </w:p>
    <w:p w14:paraId="6C4334FF" w14:textId="70E03EDC" w:rsidR="00102DD1" w:rsidRPr="00263A67" w:rsidRDefault="00102DD1" w:rsidP="00953250">
      <w:pPr>
        <w:pStyle w:val="NoSpacing"/>
        <w:tabs>
          <w:tab w:val="right" w:pos="8300"/>
        </w:tabs>
        <w:rPr>
          <w:rFonts w:ascii="Arial" w:hAnsi="Arial" w:cs="Arial"/>
          <w:sz w:val="34"/>
          <w:szCs w:val="34"/>
          <w:shd w:val="clear" w:color="auto" w:fill="FFFFFF"/>
          <w:lang w:eastAsia="en-GB"/>
        </w:rPr>
      </w:pPr>
      <w:r w:rsidRPr="00263A67">
        <w:rPr>
          <w:rFonts w:ascii="Arial" w:hAnsi="Arial" w:cs="Arial"/>
          <w:sz w:val="34"/>
          <w:szCs w:val="34"/>
          <w:shd w:val="clear" w:color="auto" w:fill="FFFFFF"/>
          <w:lang w:eastAsia="en-GB"/>
        </w:rPr>
        <w:t>Bass-baritone</w:t>
      </w:r>
      <w:r w:rsidR="00953250">
        <w:rPr>
          <w:rFonts w:ascii="Arial" w:hAnsi="Arial" w:cs="Arial"/>
          <w:sz w:val="34"/>
          <w:szCs w:val="34"/>
          <w:shd w:val="clear" w:color="auto" w:fill="FFFFFF"/>
          <w:lang w:eastAsia="en-GB"/>
        </w:rPr>
        <w:tab/>
      </w:r>
    </w:p>
    <w:p w14:paraId="6955184A" w14:textId="77777777" w:rsidR="00102DD1" w:rsidRPr="00263A67" w:rsidRDefault="00102DD1" w:rsidP="3901BBE9">
      <w:pPr>
        <w:pStyle w:val="NoSpacing"/>
        <w:rPr>
          <w:rFonts w:ascii="Arial" w:hAnsi="Arial" w:cs="Arial"/>
          <w:sz w:val="20"/>
          <w:szCs w:val="20"/>
          <w:shd w:val="clear" w:color="auto" w:fill="FFFFFF"/>
          <w:lang w:eastAsia="en-GB"/>
        </w:rPr>
      </w:pPr>
    </w:p>
    <w:p w14:paraId="6A215D7A" w14:textId="77777777" w:rsidR="006224F8" w:rsidRPr="006224F8" w:rsidRDefault="006224F8" w:rsidP="3901BBE9">
      <w:pPr>
        <w:pStyle w:val="NoSpacing"/>
        <w:jc w:val="both"/>
        <w:rPr>
          <w:rFonts w:ascii="Arial" w:hAnsi="Arial" w:cs="Arial"/>
          <w:sz w:val="20"/>
          <w:szCs w:val="20"/>
          <w:shd w:val="clear" w:color="auto" w:fill="FFFFFF"/>
          <w:lang w:eastAsia="en-GB"/>
        </w:rPr>
      </w:pP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American bass-baritone Greer Grimsley enjoys a thriving international career which has spanned more than three decades and sees him positioned as one of the outstanding singing actors of his generation. </w:t>
      </w:r>
    </w:p>
    <w:p w14:paraId="1D0BEF35" w14:textId="77777777" w:rsidR="006224F8" w:rsidRPr="006224F8" w:rsidRDefault="006224F8" w:rsidP="3901BBE9">
      <w:pPr>
        <w:pStyle w:val="NoSpacing"/>
        <w:jc w:val="both"/>
        <w:rPr>
          <w:rFonts w:ascii="Arial" w:hAnsi="Arial" w:cs="Arial"/>
          <w:sz w:val="20"/>
          <w:szCs w:val="20"/>
          <w:shd w:val="clear" w:color="auto" w:fill="FFFFFF"/>
          <w:lang w:eastAsia="en-GB"/>
        </w:rPr>
      </w:pPr>
    </w:p>
    <w:p w14:paraId="353E0264" w14:textId="7F31CBC5" w:rsidR="006224F8" w:rsidRPr="006224F8" w:rsidRDefault="006224F8" w:rsidP="3901BBE9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Recognised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internationally as a Wagnerian of great note, Grimsley made his debut at the Bayreuth Festival in 2018 as both Wotan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Die </w:t>
      </w:r>
      <w:proofErr w:type="spellStart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Walküre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 and </w:t>
      </w:r>
      <w:r w:rsidRPr="51D755BF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Der </w:t>
      </w:r>
      <w:proofErr w:type="spellStart"/>
      <w:r w:rsidRPr="51D755BF">
        <w:rPr>
          <w:rFonts w:ascii="Arial" w:hAnsi="Arial" w:cs="Arial"/>
          <w:sz w:val="20"/>
          <w:szCs w:val="20"/>
          <w:shd w:val="clear" w:color="auto" w:fill="FFFFFF"/>
          <w:lang w:eastAsia="en-GB"/>
        </w:rPr>
        <w:t>fliegende</w:t>
      </w:r>
      <w:proofErr w:type="spellEnd"/>
      <w:r w:rsidRPr="51D755BF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51D755BF">
        <w:rPr>
          <w:rFonts w:ascii="Arial" w:hAnsi="Arial" w:cs="Arial"/>
          <w:sz w:val="20"/>
          <w:szCs w:val="20"/>
          <w:shd w:val="clear" w:color="auto" w:fill="FFFFFF"/>
          <w:lang w:eastAsia="en-GB"/>
        </w:rPr>
        <w:t>Holländer</w:t>
      </w:r>
      <w:proofErr w:type="spellEnd"/>
      <w:r w:rsidRPr="51D755BF">
        <w:rPr>
          <w:rFonts w:ascii="Arial" w:hAnsi="Arial" w:cs="Arial"/>
          <w:sz w:val="20"/>
          <w:szCs w:val="20"/>
          <w:shd w:val="clear" w:color="auto" w:fill="FFFFFF"/>
          <w:lang w:eastAsia="en-GB"/>
        </w:rPr>
        <w:t>, roles that have featured prominently in his performance schedule of the last years. Heralded as an “exquisitely nuanced Wotan”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San Francisco Chronicle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), Grimsley has appeared in landmark productions of 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Der Ring des Nibelungen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at the Metropolitan Opera (Robert Lepage), Seattle Opera (Stephen Wadsworth) and San Francisco Opera (Francesca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Zambello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); and in Europe Grimsley’s Wotan has graced the stages of Teatro Real Madrid, Deutsche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Oper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Berlin, Gran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Teatre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del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Liceu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and </w:t>
      </w:r>
      <w:r w:rsidR="20D3780E"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most recently 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Royal Swedish Opera</w:t>
      </w:r>
      <w:r w:rsidR="5FE453B8"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under Alan Gilbert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. Further notable Wagnerian performances include Wotan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Die </w:t>
      </w:r>
      <w:proofErr w:type="spellStart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Walküre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)</w:t>
      </w:r>
      <w:r w:rsidR="3E8E7C8A"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</w:t>
      </w:r>
      <w:r w:rsidR="5FC5EC65"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at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New National Theatre Tokyo; 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Der </w:t>
      </w:r>
      <w:proofErr w:type="spellStart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fliegende</w:t>
      </w:r>
      <w:proofErr w:type="spellEnd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Holländer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at Seattle Opera, Dallas Opera and Ravinia Festival;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Telramund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Lohengrin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 at The Met, Royal Danish Opera, Lyric Opera of </w:t>
      </w:r>
      <w:proofErr w:type="gram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Chicago</w:t>
      </w:r>
      <w:proofErr w:type="gram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and Seattle Opera;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Kurwenal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Tristan und Isolde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 at Bayreuth Festival, Gran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Teatre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del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Liceu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, Lyric Opera of Chicago and Seattle Opera and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Amfortas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Parsifal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) at The Met and Seattle Opera</w:t>
      </w:r>
      <w:r w:rsidR="51D755BF" w:rsidRPr="51D755BF">
        <w:rPr>
          <w:rFonts w:ascii="Arial" w:hAnsi="Arial" w:cs="Arial"/>
          <w:sz w:val="20"/>
          <w:szCs w:val="20"/>
          <w:lang w:eastAsia="en-GB"/>
        </w:rPr>
        <w:t>.</w:t>
      </w:r>
    </w:p>
    <w:p w14:paraId="36956429" w14:textId="23D167D8" w:rsidR="3901BBE9" w:rsidRDefault="3901BBE9" w:rsidP="3901BBE9">
      <w:pPr>
        <w:pStyle w:val="NoSpacing"/>
        <w:jc w:val="both"/>
        <w:rPr>
          <w:rFonts w:ascii="Arial" w:hAnsi="Arial" w:cs="Arial"/>
          <w:lang w:eastAsia="en-GB"/>
        </w:rPr>
      </w:pPr>
    </w:p>
    <w:p w14:paraId="5F77FCBA" w14:textId="05FED822" w:rsidR="006224F8" w:rsidRPr="006224F8" w:rsidRDefault="006224F8" w:rsidP="51D755BF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Two other roles have featured particularly prominently across </w:t>
      </w:r>
      <w:proofErr w:type="gram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Grimsley‘</w:t>
      </w:r>
      <w:proofErr w:type="gram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s seasons: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Jochanaan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/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Salome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(The Met, San Francisco Opera, San Diego Opera, Santa Fe Opera, Deutsche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Oper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Berlin, New National Theatre Tokyo and Dallas Opera) and Scarpia/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Tosca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(San Diego Opera, The Met, Los Angeles Opera, Seattle Opera, Deutsche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Oper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Berlin,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Oper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der Stadt Köln, Den Norske Opera and at Japan’s Hyogo Performing Arts Center). Further recent roles have included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Orest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Elektra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), </w:t>
      </w:r>
      <w:r w:rsidR="3F36C651" w:rsidRPr="51D755BF">
        <w:rPr>
          <w:rFonts w:ascii="Arial" w:hAnsi="Arial" w:cs="Arial"/>
          <w:i/>
          <w:iCs/>
          <w:sz w:val="20"/>
          <w:szCs w:val="20"/>
          <w:lang w:eastAsia="en-GB"/>
        </w:rPr>
        <w:t>Macbeth</w:t>
      </w:r>
      <w:r w:rsidR="3F36C651" w:rsidRPr="3901BBE9">
        <w:rPr>
          <w:rFonts w:ascii="Arial" w:hAnsi="Arial" w:cs="Arial"/>
          <w:sz w:val="20"/>
          <w:szCs w:val="20"/>
          <w:lang w:eastAsia="en-GB"/>
        </w:rPr>
        <w:t>,</w:t>
      </w:r>
      <w:r w:rsidR="3F36C651"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Jack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Rance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La </w:t>
      </w:r>
      <w:proofErr w:type="spellStart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fanciullla</w:t>
      </w:r>
      <w:proofErr w:type="spellEnd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 del West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), Don Pizarro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Fidelio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)</w:t>
      </w:r>
      <w:r w:rsidR="30EC4631"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Captain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Balstrode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Peter Grimes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),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Méphistophélès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(Faust),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Claggart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Billy Budd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), 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Sweeney </w:t>
      </w:r>
      <w:proofErr w:type="gramStart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Todd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, 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Villians</w:t>
      </w:r>
      <w:proofErr w:type="spellEnd"/>
      <w:proofErr w:type="gram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 xml:space="preserve">Les Contes </w:t>
      </w:r>
      <w:proofErr w:type="spellStart"/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d’Hoffmann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) and </w:t>
      </w:r>
      <w:proofErr w:type="spellStart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Mandryka</w:t>
      </w:r>
      <w:proofErr w:type="spellEnd"/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(</w:t>
      </w:r>
      <w:r w:rsidRPr="51D755B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Arabella</w:t>
      </w: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>).</w:t>
      </w:r>
    </w:p>
    <w:p w14:paraId="1BF803B9" w14:textId="1A6E13F6" w:rsidR="006224F8" w:rsidRPr="006224F8" w:rsidRDefault="006224F8" w:rsidP="51D755BF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14:paraId="33ACA353" w14:textId="148C7F2A" w:rsidR="006224F8" w:rsidRPr="006224F8" w:rsidRDefault="1394B06B" w:rsidP="51D755BF">
      <w:pPr>
        <w:pStyle w:val="NoSpacing"/>
        <w:jc w:val="both"/>
        <w:rPr>
          <w:rFonts w:ascii="Arial" w:hAnsi="Arial" w:cs="Arial"/>
          <w:sz w:val="20"/>
          <w:szCs w:val="20"/>
          <w:highlight w:val="yellow"/>
          <w:shd w:val="clear" w:color="auto" w:fill="FFFFFF"/>
          <w:lang w:eastAsia="en-GB"/>
        </w:rPr>
      </w:pPr>
      <w:r w:rsidRPr="3901BBE9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Last </w:t>
      </w:r>
      <w:r w:rsidR="1DFAF8C1" w:rsidRPr="3901BBE9">
        <w:rPr>
          <w:rFonts w:ascii="Arial" w:hAnsi="Arial" w:cs="Arial"/>
          <w:sz w:val="20"/>
          <w:szCs w:val="20"/>
          <w:lang w:eastAsia="en-GB"/>
        </w:rPr>
        <w:t xml:space="preserve">season Grimsley </w:t>
      </w:r>
      <w:r w:rsidR="0543C074" w:rsidRPr="3901BBE9">
        <w:rPr>
          <w:rFonts w:ascii="Arial" w:hAnsi="Arial" w:cs="Arial"/>
          <w:sz w:val="20"/>
          <w:szCs w:val="20"/>
          <w:lang w:eastAsia="en-GB"/>
        </w:rPr>
        <w:t xml:space="preserve">joined </w:t>
      </w:r>
      <w:r w:rsidR="52A85E46" w:rsidRPr="3901BBE9">
        <w:rPr>
          <w:rFonts w:ascii="Arial" w:hAnsi="Arial" w:cs="Arial"/>
          <w:sz w:val="20"/>
          <w:szCs w:val="20"/>
          <w:lang w:eastAsia="en-GB"/>
        </w:rPr>
        <w:t>W</w:t>
      </w:r>
      <w:r w:rsidR="0543C074" w:rsidRPr="3901BBE9">
        <w:rPr>
          <w:rFonts w:ascii="Arial" w:hAnsi="Arial" w:cs="Arial"/>
          <w:sz w:val="20"/>
          <w:szCs w:val="20"/>
          <w:lang w:eastAsia="en-GB"/>
        </w:rPr>
        <w:t xml:space="preserve">iener </w:t>
      </w:r>
      <w:proofErr w:type="spellStart"/>
      <w:r w:rsidR="0543C074" w:rsidRPr="3901BBE9">
        <w:rPr>
          <w:rFonts w:ascii="Arial" w:hAnsi="Arial" w:cs="Arial"/>
          <w:sz w:val="20"/>
          <w:szCs w:val="20"/>
          <w:lang w:eastAsia="en-GB"/>
        </w:rPr>
        <w:t>Symphoniker</w:t>
      </w:r>
      <w:proofErr w:type="spellEnd"/>
      <w:r w:rsidR="0543C074" w:rsidRPr="3901BBE9">
        <w:rPr>
          <w:rFonts w:ascii="Arial" w:hAnsi="Arial" w:cs="Arial"/>
          <w:sz w:val="20"/>
          <w:szCs w:val="20"/>
          <w:lang w:eastAsia="en-GB"/>
        </w:rPr>
        <w:t xml:space="preserve"> under Karina </w:t>
      </w:r>
      <w:proofErr w:type="spellStart"/>
      <w:r w:rsidR="0543C074" w:rsidRPr="3901BBE9">
        <w:rPr>
          <w:rFonts w:ascii="Arial" w:hAnsi="Arial" w:cs="Arial"/>
          <w:sz w:val="20"/>
          <w:szCs w:val="20"/>
          <w:lang w:eastAsia="en-GB"/>
        </w:rPr>
        <w:t>Canellakis</w:t>
      </w:r>
      <w:proofErr w:type="spellEnd"/>
      <w:r w:rsidR="0543C074" w:rsidRPr="3901BBE9">
        <w:rPr>
          <w:rFonts w:ascii="Arial" w:hAnsi="Arial" w:cs="Arial"/>
          <w:sz w:val="20"/>
          <w:szCs w:val="20"/>
          <w:lang w:eastAsia="en-GB"/>
        </w:rPr>
        <w:t xml:space="preserve"> as Wanderer in a concert performance of </w:t>
      </w:r>
      <w:r w:rsidR="0543C074" w:rsidRPr="3A3DAD86">
        <w:rPr>
          <w:rFonts w:ascii="Arial" w:hAnsi="Arial" w:cs="Arial"/>
          <w:i/>
          <w:iCs/>
          <w:sz w:val="20"/>
          <w:szCs w:val="20"/>
          <w:lang w:eastAsia="en-GB"/>
        </w:rPr>
        <w:t>Siegfried</w:t>
      </w:r>
      <w:r w:rsidR="4E02D088" w:rsidRPr="3A3DAD86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  <w:r w:rsidR="0543C074" w:rsidRPr="3901BBE9">
        <w:rPr>
          <w:rFonts w:ascii="Arial" w:hAnsi="Arial" w:cs="Arial"/>
          <w:sz w:val="20"/>
          <w:szCs w:val="20"/>
          <w:lang w:eastAsia="en-GB"/>
        </w:rPr>
        <w:t xml:space="preserve">at the </w:t>
      </w:r>
      <w:proofErr w:type="spellStart"/>
      <w:r w:rsidR="0543C074" w:rsidRPr="3901BBE9">
        <w:rPr>
          <w:rFonts w:ascii="Arial" w:hAnsi="Arial" w:cs="Arial"/>
          <w:sz w:val="20"/>
          <w:szCs w:val="20"/>
          <w:lang w:eastAsia="en-GB"/>
        </w:rPr>
        <w:t>Bregenzer</w:t>
      </w:r>
      <w:proofErr w:type="spellEnd"/>
      <w:r w:rsidR="0543C074" w:rsidRPr="3901BBE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543C074" w:rsidRPr="3901BBE9">
        <w:rPr>
          <w:rFonts w:ascii="Arial" w:hAnsi="Arial" w:cs="Arial"/>
          <w:sz w:val="20"/>
          <w:szCs w:val="20"/>
          <w:lang w:eastAsia="en-GB"/>
        </w:rPr>
        <w:t>Festspiele</w:t>
      </w:r>
      <w:proofErr w:type="spellEnd"/>
      <w:r w:rsidR="0543C074" w:rsidRPr="3901BBE9">
        <w:rPr>
          <w:rFonts w:ascii="Arial" w:hAnsi="Arial" w:cs="Arial"/>
          <w:sz w:val="20"/>
          <w:szCs w:val="20"/>
          <w:lang w:eastAsia="en-GB"/>
        </w:rPr>
        <w:t xml:space="preserve"> and returned to </w:t>
      </w:r>
      <w:r w:rsidR="51D755BF" w:rsidRPr="51D755BF">
        <w:rPr>
          <w:rFonts w:ascii="Arial" w:hAnsi="Arial" w:cs="Arial"/>
          <w:sz w:val="20"/>
          <w:szCs w:val="20"/>
          <w:lang w:eastAsia="en-GB"/>
        </w:rPr>
        <w:t xml:space="preserve">San Francisco Opera under </w:t>
      </w:r>
      <w:proofErr w:type="spellStart"/>
      <w:r w:rsidR="51D755BF" w:rsidRPr="51D755BF">
        <w:rPr>
          <w:rFonts w:ascii="Arial" w:hAnsi="Arial" w:cs="Arial"/>
          <w:sz w:val="20"/>
          <w:szCs w:val="20"/>
          <w:lang w:eastAsia="en-GB"/>
        </w:rPr>
        <w:t>Eun</w:t>
      </w:r>
      <w:proofErr w:type="spellEnd"/>
      <w:r w:rsidR="51D755BF" w:rsidRPr="51D755BF">
        <w:rPr>
          <w:rFonts w:ascii="Arial" w:hAnsi="Arial" w:cs="Arial"/>
          <w:sz w:val="20"/>
          <w:szCs w:val="20"/>
          <w:lang w:eastAsia="en-GB"/>
        </w:rPr>
        <w:t xml:space="preserve"> Sun Kim as Don Pizarro.  The current season includes </w:t>
      </w:r>
      <w:r w:rsidR="0031772A" w:rsidRPr="08856CE8">
        <w:rPr>
          <w:rFonts w:ascii="Arial" w:hAnsi="Arial" w:cs="Arial"/>
          <w:sz w:val="20"/>
          <w:szCs w:val="20"/>
          <w:shd w:val="clear" w:color="auto" w:fill="FFFFFF"/>
          <w:lang w:eastAsia="en-GB"/>
        </w:rPr>
        <w:t>Scarpia at San Diego Opera and Wotan in</w:t>
      </w:r>
      <w:r w:rsidR="009D71D9" w:rsidRPr="08856CE8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D71D9" w:rsidRPr="00154838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Das Rheingold</w:t>
      </w:r>
      <w:r w:rsidR="009D71D9" w:rsidRPr="08856CE8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at The Atlanta Opera</w:t>
      </w:r>
      <w:r w:rsidR="39CF736E" w:rsidRPr="3A3DAD86">
        <w:rPr>
          <w:rFonts w:ascii="Arial" w:hAnsi="Arial" w:cs="Arial"/>
          <w:sz w:val="20"/>
          <w:szCs w:val="20"/>
          <w:lang w:eastAsia="en-GB"/>
        </w:rPr>
        <w:t>; and</w:t>
      </w:r>
      <w:r w:rsidR="0031772A" w:rsidRPr="3A3DAD86">
        <w:rPr>
          <w:rFonts w:ascii="Arial" w:hAnsi="Arial" w:cs="Arial"/>
          <w:sz w:val="20"/>
          <w:szCs w:val="20"/>
          <w:shd w:val="clear" w:color="auto" w:fill="FFFFFF"/>
          <w:lang w:eastAsia="en-GB"/>
        </w:rPr>
        <w:t xml:space="preserve"> joins Seattle Opera as High Priest of Dagon in concert performances of </w:t>
      </w:r>
      <w:r w:rsidR="0031772A" w:rsidRPr="00154838">
        <w:rPr>
          <w:rFonts w:ascii="Arial" w:hAnsi="Arial" w:cs="Arial"/>
          <w:i/>
          <w:iCs/>
          <w:sz w:val="20"/>
          <w:szCs w:val="20"/>
          <w:shd w:val="clear" w:color="auto" w:fill="FFFFFF"/>
          <w:lang w:eastAsia="en-GB"/>
        </w:rPr>
        <w:t>Samson et Dalila</w:t>
      </w:r>
      <w:r w:rsidR="0031772A" w:rsidRPr="3A3DAD86">
        <w:rPr>
          <w:rFonts w:ascii="Arial" w:hAnsi="Arial" w:cs="Arial"/>
          <w:sz w:val="20"/>
          <w:szCs w:val="20"/>
          <w:shd w:val="clear" w:color="auto" w:fill="FFFFFF"/>
          <w:lang w:eastAsia="en-GB"/>
        </w:rPr>
        <w:t>.</w:t>
      </w:r>
    </w:p>
    <w:p w14:paraId="654099FE" w14:textId="56C3ED46" w:rsidR="51D755BF" w:rsidRDefault="51D755BF" w:rsidP="51D755BF">
      <w:pPr>
        <w:pStyle w:val="NoSpacing"/>
        <w:jc w:val="both"/>
        <w:rPr>
          <w:rFonts w:ascii="Arial" w:hAnsi="Arial" w:cs="Arial"/>
          <w:color w:val="FF0000"/>
          <w:lang w:eastAsia="en-GB"/>
        </w:rPr>
      </w:pPr>
    </w:p>
    <w:p w14:paraId="04D905BA" w14:textId="07004F9F" w:rsidR="00C65D73" w:rsidRDefault="006224F8" w:rsidP="006224F8">
      <w:pPr>
        <w:pStyle w:val="NoSpacing"/>
        <w:jc w:val="both"/>
        <w:rPr>
          <w:rFonts w:ascii="Arial" w:hAnsi="Arial" w:cs="Arial"/>
          <w:sz w:val="20"/>
          <w:szCs w:val="20"/>
          <w:shd w:val="clear" w:color="auto" w:fill="FFFFFF"/>
          <w:lang w:eastAsia="en-GB"/>
        </w:rPr>
      </w:pPr>
      <w:r w:rsidRPr="006224F8">
        <w:rPr>
          <w:rFonts w:ascii="Arial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An active concert performer, Grimsley’s most frequently performed pieces include Verdi’s </w:t>
      </w:r>
      <w:proofErr w:type="spellStart"/>
      <w:r w:rsidRPr="006224F8">
        <w:rPr>
          <w:rFonts w:ascii="Arial" w:hAnsi="Arial" w:cs="Arial"/>
          <w:color w:val="000000"/>
          <w:sz w:val="20"/>
          <w:szCs w:val="20"/>
          <w:shd w:val="clear" w:color="auto" w:fill="FFFFFF"/>
          <w:lang w:eastAsia="en-GB"/>
        </w:rPr>
        <w:t>Messa</w:t>
      </w:r>
      <w:proofErr w:type="spellEnd"/>
      <w:r w:rsidRPr="006224F8">
        <w:rPr>
          <w:rFonts w:ascii="Arial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 da Requiem and Beethoven’s Symphony No.9, which he has performed extensively on both sides of the Atlantic.</w:t>
      </w:r>
      <w:r w:rsidR="28D9C5D0" w:rsidRPr="006224F8">
        <w:rPr>
          <w:rFonts w:ascii="Arial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14:paraId="68545DE1" w14:textId="6838471D" w:rsidR="009D71D9" w:rsidRPr="00D45C78" w:rsidRDefault="009D71D9" w:rsidP="00C65D73">
      <w:pPr>
        <w:pStyle w:val="NoSpacing"/>
        <w:rPr>
          <w:rFonts w:ascii="Arial" w:hAnsi="Arial" w:cs="Arial"/>
          <w:sz w:val="20"/>
          <w:szCs w:val="20"/>
          <w:shd w:val="clear" w:color="auto" w:fill="FFFFFF"/>
          <w:lang w:eastAsia="en-GB"/>
        </w:rPr>
      </w:pPr>
    </w:p>
    <w:sectPr w:rsidR="009D71D9" w:rsidRPr="00D45C78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1662" w14:textId="77777777" w:rsidR="007E69D2" w:rsidRDefault="007E69D2" w:rsidP="00005774">
      <w:r>
        <w:separator/>
      </w:r>
    </w:p>
  </w:endnote>
  <w:endnote w:type="continuationSeparator" w:id="0">
    <w:p w14:paraId="250E21C4" w14:textId="77777777" w:rsidR="007E69D2" w:rsidRDefault="007E69D2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DBCA" w14:textId="651B89DC" w:rsidR="00DE26B1" w:rsidRPr="004512EC" w:rsidRDefault="00113EB3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6224F8">
      <w:rPr>
        <w:rFonts w:ascii="Arial" w:hAnsi="Arial" w:cs="Arial"/>
        <w:sz w:val="20"/>
        <w:szCs w:val="20"/>
      </w:rPr>
      <w:t>22</w:t>
    </w:r>
    <w:r w:rsidR="00397796">
      <w:rPr>
        <w:rFonts w:ascii="Arial" w:hAnsi="Arial" w:cs="Arial"/>
        <w:sz w:val="20"/>
        <w:szCs w:val="20"/>
      </w:rPr>
      <w:t>/23</w:t>
    </w:r>
    <w:r w:rsidR="00DE2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DE26B1" w:rsidRPr="004512EC">
      <w:rPr>
        <w:rFonts w:ascii="Arial" w:hAnsi="Arial" w:cs="Arial"/>
        <w:sz w:val="20"/>
        <w:szCs w:val="20"/>
      </w:rPr>
      <w:t>HarrisonParrott</w:t>
    </w:r>
    <w:proofErr w:type="spellEnd"/>
    <w:r w:rsidR="00DE26B1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63FC90D" w14:textId="77777777" w:rsidR="00DE26B1" w:rsidRDefault="00DE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4A0A" w14:textId="77777777" w:rsidR="007E69D2" w:rsidRDefault="007E69D2" w:rsidP="00005774">
      <w:r>
        <w:separator/>
      </w:r>
    </w:p>
  </w:footnote>
  <w:footnote w:type="continuationSeparator" w:id="0">
    <w:p w14:paraId="31A10999" w14:textId="77777777" w:rsidR="007E69D2" w:rsidRDefault="007E69D2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7E89" w14:textId="77777777" w:rsidR="00DE26B1" w:rsidRPr="00005774" w:rsidRDefault="001654E3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73B534E" wp14:editId="59F7A85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7971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70F5D"/>
    <w:rsid w:val="00075069"/>
    <w:rsid w:val="00097E52"/>
    <w:rsid w:val="000A34A5"/>
    <w:rsid w:val="000A60EA"/>
    <w:rsid w:val="000C6631"/>
    <w:rsid w:val="000F07F6"/>
    <w:rsid w:val="00101FEE"/>
    <w:rsid w:val="00102DD1"/>
    <w:rsid w:val="00113EB3"/>
    <w:rsid w:val="00114B61"/>
    <w:rsid w:val="001220DC"/>
    <w:rsid w:val="00154838"/>
    <w:rsid w:val="00157DC3"/>
    <w:rsid w:val="001649A3"/>
    <w:rsid w:val="001654E3"/>
    <w:rsid w:val="00175D65"/>
    <w:rsid w:val="0019564F"/>
    <w:rsid w:val="001B0BD9"/>
    <w:rsid w:val="001F125D"/>
    <w:rsid w:val="002044D4"/>
    <w:rsid w:val="002204EC"/>
    <w:rsid w:val="0022689F"/>
    <w:rsid w:val="002335BA"/>
    <w:rsid w:val="0025591C"/>
    <w:rsid w:val="002945F9"/>
    <w:rsid w:val="002B3590"/>
    <w:rsid w:val="002D0779"/>
    <w:rsid w:val="002E1E99"/>
    <w:rsid w:val="002E627A"/>
    <w:rsid w:val="0030303D"/>
    <w:rsid w:val="0031772A"/>
    <w:rsid w:val="00332294"/>
    <w:rsid w:val="00337254"/>
    <w:rsid w:val="003443EC"/>
    <w:rsid w:val="00347AD7"/>
    <w:rsid w:val="00397796"/>
    <w:rsid w:val="003B3333"/>
    <w:rsid w:val="00421CE6"/>
    <w:rsid w:val="004260DC"/>
    <w:rsid w:val="00436BB5"/>
    <w:rsid w:val="00442894"/>
    <w:rsid w:val="004512EC"/>
    <w:rsid w:val="00467C06"/>
    <w:rsid w:val="004912C5"/>
    <w:rsid w:val="004976B5"/>
    <w:rsid w:val="004A2BD9"/>
    <w:rsid w:val="004A3603"/>
    <w:rsid w:val="004A5AD7"/>
    <w:rsid w:val="004C587F"/>
    <w:rsid w:val="004D0DAD"/>
    <w:rsid w:val="004D0EC9"/>
    <w:rsid w:val="004D6F3E"/>
    <w:rsid w:val="004F037D"/>
    <w:rsid w:val="005200CE"/>
    <w:rsid w:val="00523985"/>
    <w:rsid w:val="005474E2"/>
    <w:rsid w:val="00550BE0"/>
    <w:rsid w:val="00550D69"/>
    <w:rsid w:val="005663C4"/>
    <w:rsid w:val="005B7BE9"/>
    <w:rsid w:val="005E183B"/>
    <w:rsid w:val="005E46BF"/>
    <w:rsid w:val="00616614"/>
    <w:rsid w:val="006224F8"/>
    <w:rsid w:val="00646214"/>
    <w:rsid w:val="00680CCC"/>
    <w:rsid w:val="006A102E"/>
    <w:rsid w:val="006A42DC"/>
    <w:rsid w:val="006B087C"/>
    <w:rsid w:val="006B0B3D"/>
    <w:rsid w:val="006B6466"/>
    <w:rsid w:val="006C0DF4"/>
    <w:rsid w:val="00712D60"/>
    <w:rsid w:val="007335E8"/>
    <w:rsid w:val="00737BE4"/>
    <w:rsid w:val="00767A34"/>
    <w:rsid w:val="00785FC5"/>
    <w:rsid w:val="007D3148"/>
    <w:rsid w:val="007E69D2"/>
    <w:rsid w:val="008176F9"/>
    <w:rsid w:val="008C1784"/>
    <w:rsid w:val="008D21FD"/>
    <w:rsid w:val="00924858"/>
    <w:rsid w:val="00944C08"/>
    <w:rsid w:val="00953250"/>
    <w:rsid w:val="00961C7D"/>
    <w:rsid w:val="009753B8"/>
    <w:rsid w:val="0099162C"/>
    <w:rsid w:val="00992DD4"/>
    <w:rsid w:val="009A54BD"/>
    <w:rsid w:val="009C2271"/>
    <w:rsid w:val="009D18DD"/>
    <w:rsid w:val="009D71D9"/>
    <w:rsid w:val="009F1951"/>
    <w:rsid w:val="00A03FB5"/>
    <w:rsid w:val="00A21386"/>
    <w:rsid w:val="00A32D1C"/>
    <w:rsid w:val="00A74052"/>
    <w:rsid w:val="00AB1F03"/>
    <w:rsid w:val="00AE7071"/>
    <w:rsid w:val="00AF3A4C"/>
    <w:rsid w:val="00B15535"/>
    <w:rsid w:val="00B30EC0"/>
    <w:rsid w:val="00B3557D"/>
    <w:rsid w:val="00B403B7"/>
    <w:rsid w:val="00B80A57"/>
    <w:rsid w:val="00BC211D"/>
    <w:rsid w:val="00BE33BD"/>
    <w:rsid w:val="00C5324C"/>
    <w:rsid w:val="00C54FBE"/>
    <w:rsid w:val="00C6596F"/>
    <w:rsid w:val="00C65D73"/>
    <w:rsid w:val="00CC72E2"/>
    <w:rsid w:val="00CF187A"/>
    <w:rsid w:val="00D05AF4"/>
    <w:rsid w:val="00D375D4"/>
    <w:rsid w:val="00D44C25"/>
    <w:rsid w:val="00D45C78"/>
    <w:rsid w:val="00D56F56"/>
    <w:rsid w:val="00D63540"/>
    <w:rsid w:val="00D658C0"/>
    <w:rsid w:val="00D960D2"/>
    <w:rsid w:val="00DC43DD"/>
    <w:rsid w:val="00DE26B1"/>
    <w:rsid w:val="00E03B3C"/>
    <w:rsid w:val="00E92633"/>
    <w:rsid w:val="00EC31CE"/>
    <w:rsid w:val="00ED12EF"/>
    <w:rsid w:val="00EF4D2D"/>
    <w:rsid w:val="00F1304E"/>
    <w:rsid w:val="00F3321B"/>
    <w:rsid w:val="00F518B8"/>
    <w:rsid w:val="00F72013"/>
    <w:rsid w:val="00FA3498"/>
    <w:rsid w:val="00FB28F0"/>
    <w:rsid w:val="00FE76C9"/>
    <w:rsid w:val="0240999D"/>
    <w:rsid w:val="03758A41"/>
    <w:rsid w:val="03CA587A"/>
    <w:rsid w:val="049932FB"/>
    <w:rsid w:val="0543C074"/>
    <w:rsid w:val="06503AA7"/>
    <w:rsid w:val="08856CE8"/>
    <w:rsid w:val="095C4E64"/>
    <w:rsid w:val="0B1776C5"/>
    <w:rsid w:val="0E854409"/>
    <w:rsid w:val="112C7CD0"/>
    <w:rsid w:val="1394B06B"/>
    <w:rsid w:val="17AD5D65"/>
    <w:rsid w:val="1A69BCD2"/>
    <w:rsid w:val="1DBD01CF"/>
    <w:rsid w:val="1DFAF8C1"/>
    <w:rsid w:val="20D3780E"/>
    <w:rsid w:val="22F71D74"/>
    <w:rsid w:val="28D9C5D0"/>
    <w:rsid w:val="2904C88F"/>
    <w:rsid w:val="2FAEE417"/>
    <w:rsid w:val="30EC4631"/>
    <w:rsid w:val="32A1BCFE"/>
    <w:rsid w:val="3901BBE9"/>
    <w:rsid w:val="394FBDE0"/>
    <w:rsid w:val="39966371"/>
    <w:rsid w:val="39CF736E"/>
    <w:rsid w:val="3A3DAD86"/>
    <w:rsid w:val="3BD9EC3E"/>
    <w:rsid w:val="3E8E7C8A"/>
    <w:rsid w:val="3F36C651"/>
    <w:rsid w:val="4251704A"/>
    <w:rsid w:val="43FEDFBC"/>
    <w:rsid w:val="44CCA6D0"/>
    <w:rsid w:val="4550D8F2"/>
    <w:rsid w:val="460F9F4B"/>
    <w:rsid w:val="4A01BCE2"/>
    <w:rsid w:val="4E02D088"/>
    <w:rsid w:val="4E27BD7A"/>
    <w:rsid w:val="502403AF"/>
    <w:rsid w:val="51D755BF"/>
    <w:rsid w:val="52600AC8"/>
    <w:rsid w:val="5280408D"/>
    <w:rsid w:val="52A85E46"/>
    <w:rsid w:val="5638327C"/>
    <w:rsid w:val="58235085"/>
    <w:rsid w:val="5E2817F9"/>
    <w:rsid w:val="5FC5EC65"/>
    <w:rsid w:val="5FE453B8"/>
    <w:rsid w:val="610EB22E"/>
    <w:rsid w:val="6138C5DF"/>
    <w:rsid w:val="62AA828F"/>
    <w:rsid w:val="640EC14D"/>
    <w:rsid w:val="69CA5702"/>
    <w:rsid w:val="6CF7AB6E"/>
    <w:rsid w:val="6D04BEC1"/>
    <w:rsid w:val="7B79EC5D"/>
    <w:rsid w:val="7E5E511E"/>
    <w:rsid w:val="7FD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3B131C"/>
  <w15:docId w15:val="{66A971BC-FA8E-4B1E-B82B-1BC79A2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0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0C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0CE"/>
    <w:rPr>
      <w:b/>
      <w:bCs/>
      <w:lang w:val="en-US"/>
    </w:rPr>
  </w:style>
  <w:style w:type="paragraph" w:styleId="Revision">
    <w:name w:val="Revision"/>
    <w:hidden/>
    <w:uiPriority w:val="71"/>
    <w:semiHidden/>
    <w:rsid w:val="0039779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>Harrison Parrott Ltd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Fiona Livingston</cp:lastModifiedBy>
  <cp:revision>8</cp:revision>
  <cp:lastPrinted>2014-09-08T14:33:00Z</cp:lastPrinted>
  <dcterms:created xsi:type="dcterms:W3CDTF">2022-07-27T14:25:00Z</dcterms:created>
  <dcterms:modified xsi:type="dcterms:W3CDTF">2022-09-08T14:35:00Z</dcterms:modified>
</cp:coreProperties>
</file>