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2619374</wp:posOffset>
            </wp:positionH>
            <wp:positionV relativeFrom="line">
              <wp:posOffset>-409575</wp:posOffset>
            </wp:positionV>
            <wp:extent cx="1756411" cy="65722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ter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1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  <w:rPr>
          <w:sz w:val="52"/>
          <w:szCs w:val="52"/>
        </w:rPr>
      </w:pPr>
    </w:p>
    <w:p>
      <w:pPr>
        <w:pStyle w:val="Normal.0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Ain Anger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Bass</w:t>
      </w:r>
    </w:p>
    <w:p>
      <w:pPr>
        <w:pStyle w:val="No Spacing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Estonian bass Ain Anger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a regular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presence on the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most celebrated operatic stages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was honoured as Kammers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nger by the Austrian government in 2020.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Since his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house debut at Wiener Staatsoper as Monterone in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Rigoletto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2004, he has sung more than forty roles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there including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Dosifei in Mussorgsky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Khovanshchina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conducted by Semyon Bychkov,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nig Heinrich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a new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Lohengrin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Christian Thielemann, Commendatore in Barrie Kosky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new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 Giovanni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under Philippe Jordan, and many of his key Italian roles including Filippo II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 Carlos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 Zaccaria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Nabucco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 Fiesco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Simone Boccanegra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and Sparafucile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Rigoletto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one 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today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finest Wagnerian basses, Anger made his Bayreuth Festival debut as Fafner 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Das Rheingold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Siegfried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 Christian Thielemann, and his debut at Teatro alla Scala as Daland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Der fliegende Holl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nder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under Hartmut Haenchen.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Hunding, he has appeared in new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Ring Cycles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Bayerische Staatsoper under Kent Nagano, Wiener Staatsoper under Franz Welser-M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st, Oper Frankfurt under Sebastian Weigle, Lyric Opera of Chicago under Sir Andrew Davis, and at the Royal Opera House, Covent Garden under Sir Antonio Pappano. As Pogner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Die Meistersinger von 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rnberg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 Anger debuted at San Francisco Opera under Sir Mark Elder, and is a frequent guest of Deutsche Oper Berlin with whom he also appeared at the BBC Proms 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Tannh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 Donald Runnicles.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seasons have brought further expansion of the repertoire with debuts as Hagen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tterd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mmerung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for the Canadian Opera Company conducted by Johannes Debus, and at the Edinburgh International Festival with Sir Andrew Davis, and as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nig Marke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Tristan und Isolde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for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Cleveland Orchestra under Franz Welser-M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st, and West Australian Symphony Orchestra under Asher Fisch released by ABC Classics.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Anger gave his acclaimed first performances as Boris Godunov in Richard Jones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production at Deutsche Oper Berlin, the same production that marked his debut at the Royal Opera House, Covent Garden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the role 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Pimen.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 made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his anticipated debut at the Metropolitan Opera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 season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Pimen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 Sebastian Weigle,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returning as Gremin 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Eugene Onegin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Op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national de Paris, he has appeared most recently in new productions 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Boris Godunov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 Giovanni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is a regular guest of Bayerische Staatsoper where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has sung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several of his core roles as well as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Cardinal Brogni in Hal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seldom-performed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Juive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 Bertrand de Billy.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concert, Anger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recent appearances include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Haydn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Nelson Mass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Omer Meir Wellber and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nchner Philharmoniker, Verdi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Messa da Requiem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Daniel Oren and Accademia Nazionale di Santa Cecilia, Beethoven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tl w:val="0"/>
          <w:lang w:val="en-US"/>
        </w:rPr>
        <w:t>Symphony No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9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Gianandrea Noseda and Wiener Symphoniker and Mahler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tl w:val="0"/>
          <w:lang w:val="en-US"/>
        </w:rPr>
        <w:t>Symphony No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Paavo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rvi and NHK Symphony Orchestra.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Ain Anger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22/23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season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includes new productions 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Boris Godunov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(Pimen) at Teatro alla Scala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Riccardo Chailly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lleas et M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lisande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(Arkel) at Santa Fe Opera under Harry Bicket,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well as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revivals 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Tristan und Isolde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nig Marke) at Palau de les Arts Reina Sofi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James Gaffigan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 Giovanni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Wagner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Ring Cycle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Wiener Staatsoper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 Antonello Manacorda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Franz Welser-M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respectively.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concert, he joins Riccardo Chailly for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Mahler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en-US"/>
        </w:rPr>
        <w:t>Symphony No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Teatro alla Scala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Aziz Shokhakimov for Verdi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Messa da Requiem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Orchestre philharmonique de Strasbourg.</w:t>
      </w:r>
    </w:p>
    <w:p>
      <w:pPr>
        <w:pStyle w:val="Normal.0"/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800" w:bottom="36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right="26"/>
    </w:pPr>
    <w:r>
      <w:rPr>
        <w:rtl w:val="0"/>
        <w:lang w:val="en-US"/>
      </w:rPr>
      <w:t>2022/23 season only. Please contact HarrisonParrott if you wish to edit this biography.</w:t>
    </w:r>
  </w:p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