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en-US"/>
        </w:rPr>
        <w:t>Charlotte Hellekant</w:t>
      </w:r>
    </w:p>
    <w:p>
      <w:pPr>
        <w:pStyle w:val="Normal.0"/>
        <w:rPr>
          <w:rFonts w:ascii="Arial" w:cs="Arial" w:hAnsi="Arial" w:eastAsia="Arial"/>
          <w:sz w:val="34"/>
          <w:szCs w:val="34"/>
        </w:rPr>
      </w:pPr>
      <w:r>
        <w:rPr>
          <w:rFonts w:ascii="Arial" w:hAnsi="Arial"/>
          <w:sz w:val="34"/>
          <w:szCs w:val="34"/>
          <w:rtl w:val="0"/>
          <w:lang w:val="en-US"/>
        </w:rPr>
        <w:t>Mezzo-soprano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vocally expressive and compelling stage performer with a repertoire ranging from the baroque to contemporary classics, Charlotte Hellekant is one of Scandinavia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leading mezzo-sopranos with a career which is equally successful on both the opera stage and concert platform. She has inspired some of the world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leading composers to write especially for her. This includes Toshio Hosokawa who created the role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Murasame for her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his acclaimed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Matsukaze.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Subsequently, Hosokawa wrote his monodrama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Raven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her, which she premiered in concert performances with Ensemble Lucilin in Brussels, Amsterdam and Japan.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Hellekant also received particular acclaim for her tour de force performance as Sweden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schizophrenic King Erik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XIV - a role also created for her -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Mikko Heini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eponymous opera and most recently she premiered a new work by Stefano Gervasoni,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die Luft geschrieben,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nchner Kammerorchester.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 Hellekant has made her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on opera stages on both sides of the Atlantic, most notably at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 Metropolitan Opera, Op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 national de Paris and Glyndebourne Festival. Lyric roles include Charlotte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Werther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with Deutsche Oper Berlin and Carmen with Royal Swedish Opera, whilst outstanding Handel interpretations include Ino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Semele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at the 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éâ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 des Champs Elys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 and Cornelia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Giulio Cesare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under Marc Minkowski for Opernhaus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rich. She appeared as Margu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rite in La Fura dels Baus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spectacular production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damnation de Faust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Salzburger Festspiele under Sylvain Cambreling and sang the role of Judith in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Duke Bluebeard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Castle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concert at the Bergen Festival under Edward Gardner.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highlights include recent role debuts as Clairon in David Marton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production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Capriccio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La Monnaie under the baton of Lothar Koenigs and as Charlotte in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stsonaten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Malm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ö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Opera undert Patrik Ringborg.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Performance highlights in the 2022/23 season include Polina in rescheduled performances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Pique Dame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conducted by Nathalie Stutzmann at La Monnaie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 role debut as Jitsuko in Hosokawa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Hanjo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Bayerische Staatsoper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performances of Sasha Waltz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Guests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beautifully choreographed staging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Orfeo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 the baton of Leonardo Garcia Alarcon at the Teatro Real.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concert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Charlotte Hellekant has collaborated with many notable conductors and orchestras, including Christoph von Dohn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nyi at the BBC Proms, Esa-Pekka Salonen and Philharmonia Orchestra, Jukka-Pekka Saraste and Finnish Radio Symphony Orchestra, and Los Angeles Philharmonic under Gustavo Dudamel.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Performance highlights include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Mahler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Symphony No.8 with Utah Symphony (Thierry Fischer) and released on the Reference Records label,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Berio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Folksongs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Canteloube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Chants d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Auvergne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Norrk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ping Symphony Orchestra (Martin Fr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st) 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áč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Glagolitic Mass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the Orquesta y Coro Nacionales de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Espa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(Xian Zhang).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recent successes include Lili Boulanger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rarely performed cantata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Faust et H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Oslo Philharmonic Orchestra (James Gaffigan),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Gurrelieder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the Festival de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sica de Canarias (Josep Pons) and both Beethoven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Symphony No.9 and Berg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Sieben fr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 Lieder with Orchestre National de France.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Extending her craft beyond performing, Charlotte Hellekant created a staged version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Raven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 she performed at the Grand 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éâ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 de Luxembourg and 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éâ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tre des Bouffes du Nord in Paris.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 curated, produced and performed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Hedvig Leonora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 celebration of the life of the 17</w:t>
      </w:r>
      <w:r>
        <w:rPr>
          <w:rFonts w:ascii="Arial" w:hAnsi="Arial"/>
          <w:outline w:val="0"/>
          <w:color w:val="000000"/>
          <w:sz w:val="20"/>
          <w:szCs w:val="2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century Swedish Regent at Drottningholms Slottsteater. Most recently she created and co-directed a tribute to art, science and innovation 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Festive Gala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–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mark the post-pandemic re-opening of the Royal Swedish Opera.</w:t>
      </w: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668" w:right="1800" w:bottom="1440" w:left="1800" w:header="141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right="26"/>
    </w:pPr>
    <w:r>
      <w:rPr>
        <w:rFonts w:ascii="Arial" w:hAnsi="Arial"/>
        <w:sz w:val="20"/>
        <w:szCs w:val="20"/>
        <w:rtl w:val="0"/>
        <w:lang w:val="en-US"/>
      </w:rPr>
      <w:t>2022/23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28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