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51EB" w14:textId="77777777" w:rsidR="00631AD3" w:rsidRPr="00631AD3" w:rsidRDefault="00631AD3" w:rsidP="00631AD3">
      <w:pPr>
        <w:ind w:right="26"/>
        <w:rPr>
          <w:rFonts w:ascii="Arial" w:hAnsi="Arial"/>
          <w:bCs/>
          <w:sz w:val="40"/>
          <w:szCs w:val="40"/>
          <w:lang w:val="en-GB"/>
        </w:rPr>
      </w:pPr>
      <w:bookmarkStart w:id="0" w:name="OLE_LINK1"/>
      <w:r w:rsidRPr="00631AD3">
        <w:rPr>
          <w:rFonts w:ascii="Arial" w:hAnsi="Arial"/>
          <w:bCs/>
          <w:sz w:val="40"/>
          <w:szCs w:val="40"/>
          <w:lang w:val="en-GB"/>
        </w:rPr>
        <w:t>Nikisha Fogo</w:t>
      </w:r>
    </w:p>
    <w:p w14:paraId="28580DEF" w14:textId="45740659" w:rsidR="006126CB" w:rsidRPr="006126CB" w:rsidRDefault="00B55D10" w:rsidP="006126CB">
      <w:pPr>
        <w:ind w:right="26"/>
        <w:rPr>
          <w:rFonts w:ascii="Arial" w:hAnsi="Arial"/>
          <w:bCs/>
          <w:sz w:val="34"/>
          <w:szCs w:val="34"/>
          <w:lang w:val="en-GB"/>
        </w:rPr>
      </w:pPr>
      <w:r>
        <w:rPr>
          <w:rFonts w:ascii="Arial" w:hAnsi="Arial"/>
          <w:bCs/>
          <w:sz w:val="34"/>
          <w:szCs w:val="34"/>
          <w:lang w:val="en-GB"/>
        </w:rPr>
        <w:t>Ballerina</w:t>
      </w:r>
    </w:p>
    <w:p w14:paraId="4CD6F40A" w14:textId="77777777" w:rsidR="00D92F1A" w:rsidRDefault="00D92F1A">
      <w:pPr>
        <w:ind w:right="26"/>
        <w:rPr>
          <w:rFonts w:ascii="Arial" w:eastAsia="Arial" w:hAnsi="Arial" w:cs="Arial"/>
          <w:sz w:val="34"/>
          <w:szCs w:val="34"/>
        </w:rPr>
      </w:pPr>
    </w:p>
    <w:bookmarkEnd w:id="0"/>
    <w:p w14:paraId="2CDCE988" w14:textId="77777777" w:rsidR="00631AD3" w:rsidRPr="00631AD3" w:rsidRDefault="00631AD3" w:rsidP="00631AD3">
      <w:pPr>
        <w:jc w:val="both"/>
        <w:rPr>
          <w:rFonts w:ascii="Arial" w:hAnsi="Arial"/>
          <w:sz w:val="19"/>
          <w:szCs w:val="19"/>
          <w:lang w:val="en-GB"/>
        </w:rPr>
      </w:pPr>
      <w:r w:rsidRPr="00631AD3">
        <w:rPr>
          <w:rFonts w:ascii="Arial" w:hAnsi="Arial"/>
          <w:sz w:val="19"/>
          <w:szCs w:val="19"/>
          <w:lang w:val="en-GB"/>
        </w:rPr>
        <w:t xml:space="preserve">Born in Stockholm, Sweden, Nikisha Fogo was educated at the Kungliga Svenska </w:t>
      </w:r>
      <w:proofErr w:type="spellStart"/>
      <w:r w:rsidRPr="00631AD3">
        <w:rPr>
          <w:rFonts w:ascii="Arial" w:hAnsi="Arial"/>
          <w:sz w:val="19"/>
          <w:szCs w:val="19"/>
          <w:lang w:val="en-GB"/>
        </w:rPr>
        <w:t>Balettskolan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 xml:space="preserve"> and at the Royal Ballet School in London. In 2013 she joined the Wiener </w:t>
      </w:r>
      <w:proofErr w:type="spellStart"/>
      <w:r w:rsidRPr="00631AD3">
        <w:rPr>
          <w:rFonts w:ascii="Arial" w:hAnsi="Arial"/>
          <w:sz w:val="19"/>
          <w:szCs w:val="19"/>
          <w:lang w:val="en-GB"/>
        </w:rPr>
        <w:t>Staatsballett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>. In 2015, she was promoted to demi-soloist, in 2016 to soloist, and to principal in 2018 after her premiere in the principal role of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Sylvia</w:t>
      </w:r>
      <w:r w:rsidRPr="00631AD3">
        <w:rPr>
          <w:rFonts w:ascii="Arial" w:hAnsi="Arial"/>
          <w:sz w:val="19"/>
          <w:szCs w:val="19"/>
          <w:lang w:val="en-GB"/>
        </w:rPr>
        <w:t>.</w:t>
      </w:r>
    </w:p>
    <w:p w14:paraId="31F7C75F" w14:textId="77777777" w:rsidR="00631AD3" w:rsidRPr="00631AD3" w:rsidRDefault="00631AD3" w:rsidP="00631AD3">
      <w:pPr>
        <w:jc w:val="both"/>
        <w:rPr>
          <w:rFonts w:ascii="Arial" w:hAnsi="Arial"/>
          <w:sz w:val="19"/>
          <w:szCs w:val="19"/>
          <w:lang w:val="en-GB"/>
        </w:rPr>
      </w:pPr>
    </w:p>
    <w:p w14:paraId="09A84D80" w14:textId="31795B48" w:rsidR="00631AD3" w:rsidRPr="00631AD3" w:rsidRDefault="00631AD3" w:rsidP="00631AD3">
      <w:pPr>
        <w:jc w:val="both"/>
        <w:rPr>
          <w:rFonts w:ascii="Arial" w:hAnsi="Arial"/>
          <w:sz w:val="19"/>
          <w:szCs w:val="19"/>
          <w:lang w:val="en-GB"/>
        </w:rPr>
      </w:pPr>
      <w:r w:rsidRPr="00631AD3">
        <w:rPr>
          <w:rFonts w:ascii="Arial" w:hAnsi="Arial"/>
          <w:sz w:val="19"/>
          <w:szCs w:val="19"/>
          <w:lang w:val="en-GB"/>
        </w:rPr>
        <w:t xml:space="preserve">Her repertory includes </w:t>
      </w:r>
      <w:proofErr w:type="spellStart"/>
      <w:r w:rsidRPr="00631AD3">
        <w:rPr>
          <w:rFonts w:ascii="Arial" w:hAnsi="Arial"/>
          <w:sz w:val="19"/>
          <w:szCs w:val="19"/>
          <w:lang w:val="en-GB"/>
        </w:rPr>
        <w:t>Kitri’s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 xml:space="preserve"> Friend and Amor in Rudolf Nureyev’s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Don Quixote</w:t>
      </w:r>
      <w:r w:rsidRPr="00631AD3">
        <w:rPr>
          <w:rFonts w:ascii="Arial" w:hAnsi="Arial"/>
          <w:sz w:val="19"/>
          <w:szCs w:val="19"/>
          <w:lang w:val="en-GB"/>
        </w:rPr>
        <w:t>; Prince’s Companion, the Little Swan, and the Hungarian dance (soloist role) in Nureyev’s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Swan Lake</w:t>
      </w:r>
      <w:r w:rsidRPr="00631AD3">
        <w:rPr>
          <w:rFonts w:ascii="Arial" w:hAnsi="Arial"/>
          <w:sz w:val="19"/>
          <w:szCs w:val="19"/>
          <w:lang w:val="en-GB"/>
        </w:rPr>
        <w:t>; the Snowflake in Nureyev’s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The Nutcracker</w:t>
      </w:r>
      <w:r w:rsidRPr="00631AD3">
        <w:rPr>
          <w:rFonts w:ascii="Arial" w:hAnsi="Arial"/>
          <w:sz w:val="19"/>
          <w:szCs w:val="19"/>
          <w:lang w:val="en-GB"/>
        </w:rPr>
        <w:t xml:space="preserve">; </w:t>
      </w:r>
      <w:proofErr w:type="spellStart"/>
      <w:r w:rsidRPr="00631AD3">
        <w:rPr>
          <w:rFonts w:ascii="Arial" w:hAnsi="Arial"/>
          <w:sz w:val="19"/>
          <w:szCs w:val="19"/>
          <w:lang w:val="en-GB"/>
        </w:rPr>
        <w:t>Clémence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 xml:space="preserve"> in Nureyev’s </w:t>
      </w:r>
      <w:proofErr w:type="spellStart"/>
      <w:r w:rsidRPr="00631AD3">
        <w:rPr>
          <w:rFonts w:ascii="Arial" w:hAnsi="Arial"/>
          <w:i/>
          <w:iCs/>
          <w:sz w:val="19"/>
          <w:szCs w:val="19"/>
          <w:lang w:val="en-GB"/>
        </w:rPr>
        <w:t>Raymonda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 xml:space="preserve">; Olga in John </w:t>
      </w:r>
      <w:proofErr w:type="spellStart"/>
      <w:r w:rsidRPr="00631AD3">
        <w:rPr>
          <w:rFonts w:ascii="Arial" w:hAnsi="Arial"/>
          <w:sz w:val="19"/>
          <w:szCs w:val="19"/>
          <w:lang w:val="en-GB"/>
        </w:rPr>
        <w:t>Cranko’s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> </w:t>
      </w:r>
      <w:proofErr w:type="spellStart"/>
      <w:r w:rsidRPr="00631AD3">
        <w:rPr>
          <w:rFonts w:ascii="Arial" w:hAnsi="Arial"/>
          <w:i/>
          <w:iCs/>
          <w:sz w:val="19"/>
          <w:szCs w:val="19"/>
          <w:lang w:val="en-GB"/>
        </w:rPr>
        <w:t>Onegin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>; the friend in Frederick Ashton’s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 xml:space="preserve">La Fille mal </w:t>
      </w:r>
      <w:proofErr w:type="spellStart"/>
      <w:r w:rsidRPr="00631AD3">
        <w:rPr>
          <w:rFonts w:ascii="Arial" w:hAnsi="Arial"/>
          <w:i/>
          <w:iCs/>
          <w:sz w:val="19"/>
          <w:szCs w:val="19"/>
          <w:lang w:val="en-GB"/>
        </w:rPr>
        <w:t>gardée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 xml:space="preserve">; Odalisque in Manuel </w:t>
      </w:r>
      <w:proofErr w:type="spellStart"/>
      <w:r w:rsidRPr="00631AD3">
        <w:rPr>
          <w:rFonts w:ascii="Arial" w:hAnsi="Arial"/>
          <w:sz w:val="19"/>
          <w:szCs w:val="19"/>
          <w:lang w:val="en-GB"/>
        </w:rPr>
        <w:t>Legris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>´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 xml:space="preserve">Le </w:t>
      </w:r>
      <w:proofErr w:type="spellStart"/>
      <w:r w:rsidRPr="00631AD3">
        <w:rPr>
          <w:rFonts w:ascii="Arial" w:hAnsi="Arial"/>
          <w:i/>
          <w:iCs/>
          <w:sz w:val="19"/>
          <w:szCs w:val="19"/>
          <w:lang w:val="en-GB"/>
        </w:rPr>
        <w:t>Corsaire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 xml:space="preserve">; </w:t>
      </w:r>
      <w:proofErr w:type="spellStart"/>
      <w:r w:rsidRPr="00631AD3">
        <w:rPr>
          <w:rFonts w:ascii="Arial" w:hAnsi="Arial"/>
          <w:sz w:val="19"/>
          <w:szCs w:val="19"/>
          <w:lang w:val="en-GB"/>
        </w:rPr>
        <w:t>Zigeunerin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 xml:space="preserve"> in Michael </w:t>
      </w:r>
      <w:proofErr w:type="spellStart"/>
      <w:r w:rsidRPr="00631AD3">
        <w:rPr>
          <w:rFonts w:ascii="Arial" w:hAnsi="Arial"/>
          <w:sz w:val="19"/>
          <w:szCs w:val="19"/>
          <w:lang w:val="en-GB"/>
        </w:rPr>
        <w:t>Corder’s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>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 xml:space="preserve">Die </w:t>
      </w:r>
      <w:proofErr w:type="spellStart"/>
      <w:r w:rsidRPr="00631AD3">
        <w:rPr>
          <w:rFonts w:ascii="Arial" w:hAnsi="Arial"/>
          <w:i/>
          <w:iCs/>
          <w:sz w:val="19"/>
          <w:szCs w:val="19"/>
          <w:lang w:val="en-GB"/>
        </w:rPr>
        <w:t>Schneekönigin</w:t>
      </w:r>
      <w:proofErr w:type="spellEnd"/>
      <w:r w:rsidRPr="00631AD3">
        <w:rPr>
          <w:rFonts w:ascii="Arial" w:hAnsi="Arial"/>
          <w:i/>
          <w:iCs/>
          <w:sz w:val="19"/>
          <w:szCs w:val="19"/>
          <w:lang w:val="en-GB"/>
        </w:rPr>
        <w:t> </w:t>
      </w:r>
      <w:r w:rsidRPr="00631AD3">
        <w:rPr>
          <w:rFonts w:ascii="Arial" w:hAnsi="Arial"/>
          <w:sz w:val="19"/>
          <w:szCs w:val="19"/>
          <w:lang w:val="en-GB"/>
        </w:rPr>
        <w:t>(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The Snow Queen</w:t>
      </w:r>
      <w:r w:rsidRPr="00631AD3">
        <w:rPr>
          <w:rFonts w:ascii="Arial" w:hAnsi="Arial"/>
          <w:sz w:val="19"/>
          <w:szCs w:val="19"/>
          <w:lang w:val="en-GB"/>
        </w:rPr>
        <w:t>), the Shadow of Marie Antoinette in Patrick de Bana’s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Marie Antoinette</w:t>
      </w:r>
      <w:r w:rsidRPr="00631AD3">
        <w:rPr>
          <w:rFonts w:ascii="Arial" w:hAnsi="Arial"/>
          <w:sz w:val="19"/>
          <w:szCs w:val="19"/>
          <w:lang w:val="en-GB"/>
        </w:rPr>
        <w:t xml:space="preserve">; a farmer in Elena </w:t>
      </w:r>
      <w:proofErr w:type="spellStart"/>
      <w:r w:rsidRPr="00631AD3">
        <w:rPr>
          <w:rFonts w:ascii="Arial" w:hAnsi="Arial"/>
          <w:sz w:val="19"/>
          <w:szCs w:val="19"/>
          <w:lang w:val="en-GB"/>
        </w:rPr>
        <w:t>Tschernischova’s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>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Giselle</w:t>
      </w:r>
      <w:r w:rsidRPr="00631AD3">
        <w:rPr>
          <w:rFonts w:ascii="Arial" w:hAnsi="Arial"/>
          <w:sz w:val="19"/>
          <w:szCs w:val="19"/>
          <w:lang w:val="en-GB"/>
        </w:rPr>
        <w:t xml:space="preserve">; the Woman in Green, Anitra, the daughter of a </w:t>
      </w:r>
      <w:proofErr w:type="spellStart"/>
      <w:r w:rsidRPr="00631AD3">
        <w:rPr>
          <w:rFonts w:ascii="Arial" w:hAnsi="Arial"/>
          <w:sz w:val="19"/>
          <w:szCs w:val="19"/>
          <w:lang w:val="en-GB"/>
        </w:rPr>
        <w:t>Beduinen-Häuptlings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 xml:space="preserve"> in Edward </w:t>
      </w:r>
      <w:proofErr w:type="spellStart"/>
      <w:r w:rsidRPr="00631AD3">
        <w:rPr>
          <w:rFonts w:ascii="Arial" w:hAnsi="Arial"/>
          <w:sz w:val="19"/>
          <w:szCs w:val="19"/>
          <w:lang w:val="en-GB"/>
        </w:rPr>
        <w:t>Clug’s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>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 xml:space="preserve">Peer </w:t>
      </w:r>
      <w:proofErr w:type="spellStart"/>
      <w:r w:rsidRPr="00631AD3">
        <w:rPr>
          <w:rFonts w:ascii="Arial" w:hAnsi="Arial"/>
          <w:i/>
          <w:iCs/>
          <w:sz w:val="19"/>
          <w:szCs w:val="19"/>
          <w:lang w:val="en-GB"/>
        </w:rPr>
        <w:t>Gynt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>, as well as lead roles in George Balanchine’s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Tarantella</w:t>
      </w:r>
      <w:r w:rsidRPr="00631AD3">
        <w:rPr>
          <w:rFonts w:ascii="Arial" w:hAnsi="Arial"/>
          <w:sz w:val="19"/>
          <w:szCs w:val="19"/>
          <w:lang w:val="en-GB"/>
        </w:rPr>
        <w:t>,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Stars and Stripes</w:t>
      </w:r>
      <w:r w:rsidRPr="00631AD3">
        <w:rPr>
          <w:rFonts w:ascii="Arial" w:hAnsi="Arial"/>
          <w:sz w:val="19"/>
          <w:szCs w:val="19"/>
          <w:lang w:val="en-GB"/>
        </w:rPr>
        <w:t>,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Allegro Brillante</w:t>
      </w:r>
      <w:r w:rsidRPr="00631AD3">
        <w:rPr>
          <w:rFonts w:ascii="Arial" w:hAnsi="Arial"/>
          <w:sz w:val="19"/>
          <w:szCs w:val="19"/>
          <w:lang w:val="en-GB"/>
        </w:rPr>
        <w:t>, and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Theme and Variations</w:t>
      </w:r>
      <w:r w:rsidRPr="00631AD3">
        <w:rPr>
          <w:rFonts w:ascii="Arial" w:hAnsi="Arial"/>
          <w:sz w:val="19"/>
          <w:szCs w:val="19"/>
          <w:lang w:val="en-GB"/>
        </w:rPr>
        <w:t>; William Forsythe’s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The Second Detail</w:t>
      </w:r>
      <w:r w:rsidRPr="00631AD3">
        <w:rPr>
          <w:rFonts w:ascii="Arial" w:hAnsi="Arial"/>
          <w:sz w:val="19"/>
          <w:szCs w:val="19"/>
          <w:lang w:val="en-GB"/>
        </w:rPr>
        <w:t>; Alexander Ekman’s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Cacti</w:t>
      </w:r>
      <w:r w:rsidRPr="00631AD3">
        <w:rPr>
          <w:rFonts w:ascii="Arial" w:hAnsi="Arial"/>
          <w:sz w:val="19"/>
          <w:szCs w:val="19"/>
          <w:lang w:val="en-GB"/>
        </w:rPr>
        <w:t>; Patrick de Bana’s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Creatures</w:t>
      </w:r>
      <w:r w:rsidRPr="00631AD3">
        <w:rPr>
          <w:rFonts w:ascii="Arial" w:hAnsi="Arial"/>
          <w:sz w:val="19"/>
          <w:szCs w:val="19"/>
          <w:lang w:val="en-GB"/>
        </w:rPr>
        <w:t xml:space="preserve">; </w:t>
      </w:r>
      <w:proofErr w:type="spellStart"/>
      <w:r w:rsidRPr="00631AD3">
        <w:rPr>
          <w:rFonts w:ascii="Arial" w:hAnsi="Arial"/>
          <w:sz w:val="19"/>
          <w:szCs w:val="19"/>
          <w:lang w:val="en-GB"/>
        </w:rPr>
        <w:t>Jiří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 xml:space="preserve"> </w:t>
      </w:r>
      <w:proofErr w:type="spellStart"/>
      <w:r w:rsidRPr="00631AD3">
        <w:rPr>
          <w:rFonts w:ascii="Arial" w:hAnsi="Arial"/>
          <w:sz w:val="19"/>
          <w:szCs w:val="19"/>
          <w:lang w:val="en-GB"/>
        </w:rPr>
        <w:t>Bubeníček’s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>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 xml:space="preserve">Le Souffle de </w:t>
      </w:r>
      <w:proofErr w:type="spellStart"/>
      <w:r w:rsidRPr="00631AD3">
        <w:rPr>
          <w:rFonts w:ascii="Arial" w:hAnsi="Arial"/>
          <w:i/>
          <w:iCs/>
          <w:sz w:val="19"/>
          <w:szCs w:val="19"/>
          <w:lang w:val="en-GB"/>
        </w:rPr>
        <w:t>l’esprit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>; John Neumeier’s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Le Sacre</w:t>
      </w:r>
      <w:r w:rsidRPr="00631AD3">
        <w:rPr>
          <w:rFonts w:ascii="Arial" w:hAnsi="Arial"/>
          <w:sz w:val="19"/>
          <w:szCs w:val="19"/>
          <w:lang w:val="en-GB"/>
        </w:rPr>
        <w:t>, </w:t>
      </w:r>
      <w:proofErr w:type="spellStart"/>
      <w:r w:rsidRPr="00631AD3">
        <w:rPr>
          <w:rFonts w:ascii="Arial" w:hAnsi="Arial"/>
          <w:i/>
          <w:iCs/>
          <w:sz w:val="19"/>
          <w:szCs w:val="19"/>
          <w:lang w:val="en-GB"/>
        </w:rPr>
        <w:t>Verklungene</w:t>
      </w:r>
      <w:proofErr w:type="spellEnd"/>
      <w:r w:rsidRPr="00631AD3">
        <w:rPr>
          <w:rFonts w:ascii="Arial" w:hAnsi="Arial"/>
          <w:i/>
          <w:iCs/>
          <w:sz w:val="19"/>
          <w:szCs w:val="19"/>
          <w:lang w:val="en-GB"/>
        </w:rPr>
        <w:t xml:space="preserve"> Feste</w:t>
      </w:r>
      <w:r w:rsidRPr="00631AD3">
        <w:rPr>
          <w:rFonts w:ascii="Arial" w:hAnsi="Arial"/>
          <w:sz w:val="19"/>
          <w:szCs w:val="19"/>
          <w:lang w:val="en-GB"/>
        </w:rPr>
        <w:t>, and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Bach Suite III</w:t>
      </w:r>
      <w:r w:rsidRPr="00631AD3">
        <w:rPr>
          <w:rFonts w:ascii="Arial" w:hAnsi="Arial"/>
          <w:sz w:val="19"/>
          <w:szCs w:val="19"/>
          <w:lang w:val="en-GB"/>
        </w:rPr>
        <w:t>; Kenneth MacMillan’s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Concerto</w:t>
      </w:r>
      <w:r w:rsidRPr="00631AD3">
        <w:rPr>
          <w:rFonts w:ascii="Arial" w:hAnsi="Arial"/>
          <w:sz w:val="19"/>
          <w:szCs w:val="19"/>
          <w:lang w:val="en-GB"/>
        </w:rPr>
        <w:t>; and Wayne McGregor’s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EDEN|EDEN</w:t>
      </w:r>
      <w:r w:rsidRPr="00631AD3">
        <w:rPr>
          <w:rFonts w:ascii="Arial" w:hAnsi="Arial"/>
          <w:sz w:val="19"/>
          <w:szCs w:val="19"/>
          <w:lang w:val="en-GB"/>
        </w:rPr>
        <w:t xml:space="preserve">. She created roles in </w:t>
      </w:r>
      <w:proofErr w:type="spellStart"/>
      <w:r w:rsidRPr="00631AD3">
        <w:rPr>
          <w:rFonts w:ascii="Arial" w:hAnsi="Arial"/>
          <w:sz w:val="19"/>
          <w:szCs w:val="19"/>
          <w:lang w:val="en-GB"/>
        </w:rPr>
        <w:t>András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 xml:space="preserve"> </w:t>
      </w:r>
      <w:proofErr w:type="spellStart"/>
      <w:r w:rsidRPr="00631AD3">
        <w:rPr>
          <w:rFonts w:ascii="Arial" w:hAnsi="Arial"/>
          <w:sz w:val="19"/>
          <w:szCs w:val="19"/>
          <w:lang w:val="en-GB"/>
        </w:rPr>
        <w:t>Lukács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>’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Movements to Stravinsky</w:t>
      </w:r>
      <w:r w:rsidRPr="00631AD3">
        <w:rPr>
          <w:rFonts w:ascii="Arial" w:hAnsi="Arial"/>
          <w:sz w:val="19"/>
          <w:szCs w:val="19"/>
          <w:lang w:val="en-GB"/>
        </w:rPr>
        <w:t xml:space="preserve"> (second couple) and in Andrey </w:t>
      </w:r>
      <w:proofErr w:type="spellStart"/>
      <w:r w:rsidRPr="00631AD3">
        <w:rPr>
          <w:rFonts w:ascii="Arial" w:hAnsi="Arial"/>
          <w:sz w:val="19"/>
          <w:szCs w:val="19"/>
          <w:lang w:val="en-GB"/>
        </w:rPr>
        <w:t>Kaydanovskiy’s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> </w:t>
      </w:r>
      <w:r w:rsidRPr="00631AD3">
        <w:rPr>
          <w:rFonts w:ascii="Arial" w:hAnsi="Arial"/>
          <w:i/>
          <w:iCs/>
          <w:sz w:val="19"/>
          <w:szCs w:val="19"/>
          <w:lang w:val="en-GB"/>
        </w:rPr>
        <w:t>Firebird</w:t>
      </w:r>
      <w:r>
        <w:rPr>
          <w:rFonts w:ascii="Arial" w:hAnsi="Arial"/>
          <w:i/>
          <w:iCs/>
          <w:sz w:val="19"/>
          <w:szCs w:val="19"/>
          <w:lang w:val="en-GB"/>
        </w:rPr>
        <w:t xml:space="preserve"> </w:t>
      </w:r>
      <w:r w:rsidRPr="00631AD3">
        <w:rPr>
          <w:rFonts w:ascii="Arial" w:hAnsi="Arial"/>
          <w:sz w:val="19"/>
          <w:szCs w:val="19"/>
          <w:lang w:val="en-GB"/>
        </w:rPr>
        <w:t>(</w:t>
      </w:r>
      <w:proofErr w:type="spellStart"/>
      <w:r w:rsidRPr="00631AD3">
        <w:rPr>
          <w:rFonts w:ascii="Arial" w:hAnsi="Arial"/>
          <w:sz w:val="19"/>
          <w:szCs w:val="19"/>
          <w:lang w:val="en-GB"/>
        </w:rPr>
        <w:t>Putzfrau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>/Maid).</w:t>
      </w:r>
    </w:p>
    <w:p w14:paraId="18B1CDA4" w14:textId="77777777" w:rsidR="00631AD3" w:rsidRPr="00631AD3" w:rsidRDefault="00631AD3" w:rsidP="00631AD3">
      <w:pPr>
        <w:jc w:val="both"/>
        <w:rPr>
          <w:rFonts w:ascii="Arial" w:hAnsi="Arial"/>
          <w:sz w:val="19"/>
          <w:szCs w:val="19"/>
          <w:lang w:val="en-GB"/>
        </w:rPr>
      </w:pPr>
    </w:p>
    <w:p w14:paraId="782AD182" w14:textId="77777777" w:rsidR="00631AD3" w:rsidRPr="00631AD3" w:rsidRDefault="00631AD3" w:rsidP="00631AD3">
      <w:pPr>
        <w:jc w:val="both"/>
        <w:rPr>
          <w:rFonts w:ascii="Arial" w:hAnsi="Arial"/>
          <w:sz w:val="19"/>
          <w:szCs w:val="19"/>
          <w:lang w:val="en-GB"/>
        </w:rPr>
      </w:pPr>
      <w:r w:rsidRPr="00631AD3">
        <w:rPr>
          <w:rFonts w:ascii="Arial" w:hAnsi="Arial"/>
          <w:sz w:val="19"/>
          <w:szCs w:val="19"/>
          <w:lang w:val="en-GB"/>
        </w:rPr>
        <w:t xml:space="preserve">Fogo’s awards and honours include the first prize at the 2010 </w:t>
      </w:r>
      <w:proofErr w:type="spellStart"/>
      <w:r w:rsidRPr="00631AD3">
        <w:rPr>
          <w:rFonts w:ascii="Arial" w:hAnsi="Arial"/>
          <w:sz w:val="19"/>
          <w:szCs w:val="19"/>
          <w:lang w:val="en-GB"/>
        </w:rPr>
        <w:t>Stora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 xml:space="preserve"> </w:t>
      </w:r>
      <w:proofErr w:type="spellStart"/>
      <w:r w:rsidRPr="00631AD3">
        <w:rPr>
          <w:rFonts w:ascii="Arial" w:hAnsi="Arial"/>
          <w:sz w:val="19"/>
          <w:szCs w:val="19"/>
          <w:lang w:val="en-GB"/>
        </w:rPr>
        <w:t>Daldansen</w:t>
      </w:r>
      <w:proofErr w:type="spellEnd"/>
      <w:r w:rsidRPr="00631AD3">
        <w:rPr>
          <w:rFonts w:ascii="Arial" w:hAnsi="Arial"/>
          <w:sz w:val="19"/>
          <w:szCs w:val="19"/>
          <w:lang w:val="en-GB"/>
        </w:rPr>
        <w:t xml:space="preserve"> competition in Falun (Sweden) and at the Ballet Competition in Grasse (France).</w:t>
      </w:r>
    </w:p>
    <w:p w14:paraId="352C303F" w14:textId="1A065A22" w:rsidR="00D92F1A" w:rsidRDefault="00A70E90" w:rsidP="006126CB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C2D9" w14:textId="77777777" w:rsidR="00D65BC9" w:rsidRDefault="00D65BC9">
      <w:r>
        <w:separator/>
      </w:r>
    </w:p>
  </w:endnote>
  <w:endnote w:type="continuationSeparator" w:id="0">
    <w:p w14:paraId="5806652A" w14:textId="77777777" w:rsidR="00D65BC9" w:rsidRDefault="00D6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573D162F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20/21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0118" w14:textId="77777777" w:rsidR="00D65BC9" w:rsidRDefault="00D65BC9">
      <w:r>
        <w:separator/>
      </w:r>
    </w:p>
  </w:footnote>
  <w:footnote w:type="continuationSeparator" w:id="0">
    <w:p w14:paraId="34CFAD8A" w14:textId="77777777" w:rsidR="00D65BC9" w:rsidRDefault="00D6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95DB5"/>
    <w:rsid w:val="006126CB"/>
    <w:rsid w:val="00631AD3"/>
    <w:rsid w:val="008C618F"/>
    <w:rsid w:val="00A70E90"/>
    <w:rsid w:val="00AA369D"/>
    <w:rsid w:val="00B55D10"/>
    <w:rsid w:val="00D65BC9"/>
    <w:rsid w:val="00D92F1A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2</cp:revision>
  <dcterms:created xsi:type="dcterms:W3CDTF">2022-04-27T11:12:00Z</dcterms:created>
  <dcterms:modified xsi:type="dcterms:W3CDTF">2022-04-27T11:12:00Z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