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26"/>
        <w:rPr>
          <w:rFonts w:ascii="Arial" w:cs="Arial" w:hAnsi="Arial" w:eastAsia="Arial"/>
          <w:sz w:val="40"/>
          <w:szCs w:val="40"/>
        </w:rPr>
      </w:pPr>
      <w:r>
        <w:rPr>
          <w:rFonts w:ascii="Arial" w:hAnsi="Arial"/>
          <w:sz w:val="40"/>
          <w:szCs w:val="40"/>
          <w:rtl w:val="0"/>
          <w:lang w:val="en-US"/>
        </w:rPr>
        <w:t>Stephen Milling</w:t>
      </w:r>
    </w:p>
    <w:p>
      <w:pPr>
        <w:pStyle w:val="Normal.0"/>
        <w:ind w:right="26"/>
        <w:rPr>
          <w:rFonts w:ascii="Arial" w:cs="Arial" w:hAnsi="Arial" w:eastAsia="Arial"/>
          <w:sz w:val="34"/>
          <w:szCs w:val="34"/>
        </w:rPr>
      </w:pPr>
      <w:bookmarkStart w:name="OLE_LINK1" w:id="0"/>
      <w:r>
        <w:rPr>
          <w:rFonts w:ascii="Arial" w:hAnsi="Arial"/>
          <w:sz w:val="34"/>
          <w:szCs w:val="34"/>
          <w:rtl w:val="0"/>
          <w:lang w:val="en-US"/>
        </w:rPr>
        <w:t>Bass</w:t>
      </w:r>
    </w:p>
    <w:p>
      <w:pPr>
        <w:pStyle w:val="Normal.0"/>
        <w:ind w:right="26"/>
        <w:rPr>
          <w:rFonts w:ascii="Arial" w:cs="Arial" w:hAnsi="Arial" w:eastAsia="Arial"/>
          <w:sz w:val="20"/>
          <w:szCs w:val="20"/>
        </w:rPr>
      </w:pPr>
    </w:p>
    <w:p>
      <w:pPr>
        <w:pStyle w:val="Normal.0"/>
        <w:ind w:right="26"/>
        <w:rPr>
          <w:rFonts w:ascii="Arial" w:cs="Arial" w:hAnsi="Arial" w:eastAsia="Arial"/>
          <w:sz w:val="20"/>
          <w:szCs w:val="20"/>
        </w:rPr>
      </w:pPr>
    </w:p>
    <w:p>
      <w:pPr>
        <w:pStyle w:val="Normal.0"/>
        <w:rPr>
          <w:rFonts w:ascii="Arial" w:cs="Arial" w:hAnsi="Arial" w:eastAsia="Arial"/>
          <w:sz w:val="20"/>
          <w:szCs w:val="20"/>
        </w:rPr>
      </w:pPr>
      <w:bookmarkEnd w:id="0"/>
      <w:r>
        <w:rPr>
          <w:rFonts w:ascii="Arial" w:hAnsi="Arial"/>
          <w:sz w:val="20"/>
          <w:szCs w:val="20"/>
          <w:rtl w:val="0"/>
          <w:lang w:val="en-US"/>
        </w:rPr>
        <w:t>Danish bass Stephen Milling ranks among the world</w:t>
      </w:r>
      <w:r>
        <w:rPr>
          <w:rFonts w:ascii="Arial" w:hAnsi="Arial" w:hint="default"/>
          <w:sz w:val="20"/>
          <w:szCs w:val="20"/>
          <w:rtl w:val="0"/>
          <w:lang w:val="en-US"/>
        </w:rPr>
        <w:t>’</w:t>
      </w:r>
      <w:r>
        <w:rPr>
          <w:rFonts w:ascii="Arial" w:hAnsi="Arial"/>
          <w:sz w:val="20"/>
          <w:szCs w:val="20"/>
          <w:rtl w:val="0"/>
          <w:lang w:val="en-US"/>
        </w:rPr>
        <w:t xml:space="preserve">s foremost interpreters of Wagner's repertoire. </w:t>
      </w:r>
      <w:r>
        <w:rPr>
          <w:rFonts w:ascii="Arial" w:hAnsi="Arial" w:hint="default"/>
          <w:sz w:val="20"/>
          <w:szCs w:val="20"/>
          <w:rtl w:val="0"/>
          <w:lang w:val="en-US"/>
        </w:rPr>
        <w:t> </w:t>
      </w:r>
      <w:r>
        <w:rPr>
          <w:rFonts w:ascii="Arial" w:hAnsi="Arial"/>
          <w:sz w:val="20"/>
          <w:szCs w:val="20"/>
          <w:rtl w:val="0"/>
          <w:lang w:val="en-US"/>
        </w:rPr>
        <w:t>Known for a strong association with the role of Hagen since his critically acclaimed 2015 role debut at the Bayreuth Festival under Kirill Petrenko, his performance last season in the Royal Opera House, Covent Garden</w:t>
      </w:r>
      <w:r>
        <w:rPr>
          <w:rFonts w:ascii="Arial" w:hAnsi="Arial" w:hint="default"/>
          <w:sz w:val="20"/>
          <w:szCs w:val="20"/>
          <w:rtl w:val="0"/>
          <w:lang w:val="en-US"/>
        </w:rPr>
        <w:t>’</w:t>
      </w:r>
      <w:r>
        <w:rPr>
          <w:rFonts w:ascii="Arial" w:hAnsi="Arial"/>
          <w:sz w:val="20"/>
          <w:szCs w:val="20"/>
          <w:rtl w:val="0"/>
          <w:lang w:val="en-US"/>
        </w:rPr>
        <w:t xml:space="preserve">s Ring Cycle was hailed by audience and critics alike, the Financial Times writing </w:t>
      </w:r>
      <w:r>
        <w:rPr>
          <w:rFonts w:ascii="Arial" w:hAnsi="Arial" w:hint="default"/>
          <w:sz w:val="20"/>
          <w:szCs w:val="20"/>
          <w:rtl w:val="0"/>
          <w:lang w:val="en-US"/>
        </w:rPr>
        <w:t>“</w:t>
      </w:r>
      <w:r>
        <w:rPr>
          <w:rFonts w:ascii="Arial" w:hAnsi="Arial"/>
          <w:sz w:val="20"/>
          <w:szCs w:val="20"/>
          <w:rtl w:val="0"/>
          <w:lang w:val="en-US"/>
        </w:rPr>
        <w:t>Stephen Milling is outstanding as Hagen, singing with huge power, but also scrupulous in his care for the text and phrasing.</w:t>
      </w:r>
      <w:r>
        <w:rPr>
          <w:rFonts w:ascii="Arial" w:hAnsi="Arial" w:hint="default"/>
          <w:sz w:val="20"/>
          <w:szCs w:val="20"/>
          <w:rtl w:val="0"/>
          <w:lang w:val="en-US"/>
        </w:rPr>
        <w:t xml:space="preserve">” </w:t>
      </w:r>
    </w:p>
    <w:p>
      <w:pPr>
        <w:pStyle w:val="Normal.0"/>
        <w:spacing w:before="240"/>
        <w:rPr>
          <w:rFonts w:ascii="Arial" w:cs="Arial" w:hAnsi="Arial" w:eastAsia="Arial"/>
          <w:sz w:val="20"/>
          <w:szCs w:val="20"/>
        </w:rPr>
      </w:pPr>
      <w:r>
        <w:rPr>
          <w:rFonts w:ascii="Arial" w:hAnsi="Arial"/>
          <w:sz w:val="20"/>
          <w:szCs w:val="20"/>
          <w:rtl w:val="0"/>
          <w:lang w:val="en-US"/>
        </w:rPr>
        <w:t>Other recent Wagner highlights include Hunding (</w:t>
      </w:r>
      <w:r>
        <w:rPr>
          <w:rFonts w:ascii="Arial" w:hAnsi="Arial"/>
          <w:i w:val="1"/>
          <w:iCs w:val="1"/>
          <w:sz w:val="20"/>
          <w:szCs w:val="20"/>
          <w:rtl w:val="0"/>
          <w:lang w:val="en-US"/>
        </w:rPr>
        <w:t>Die Walk</w:t>
      </w:r>
      <w:r>
        <w:rPr>
          <w:rFonts w:ascii="Arial" w:hAnsi="Arial" w:hint="default"/>
          <w:i w:val="1"/>
          <w:iCs w:val="1"/>
          <w:sz w:val="20"/>
          <w:szCs w:val="20"/>
          <w:rtl w:val="0"/>
          <w:lang w:val="en-US"/>
        </w:rPr>
        <w:t>ü</w:t>
      </w:r>
      <w:r>
        <w:rPr>
          <w:rFonts w:ascii="Arial" w:hAnsi="Arial"/>
          <w:i w:val="1"/>
          <w:iCs w:val="1"/>
          <w:sz w:val="20"/>
          <w:szCs w:val="20"/>
          <w:rtl w:val="0"/>
          <w:lang w:val="en-US"/>
        </w:rPr>
        <w:t>re</w:t>
      </w:r>
      <w:r>
        <w:rPr>
          <w:rFonts w:ascii="Arial" w:hAnsi="Arial"/>
          <w:sz w:val="20"/>
          <w:szCs w:val="20"/>
          <w:rtl w:val="0"/>
          <w:lang w:val="en-US"/>
        </w:rPr>
        <w:t>) at The Metropolitan Opera and in concert with the London Philharmonic Orchestra under Vladimir Jurowski,</w:t>
      </w:r>
      <w:r>
        <w:rPr>
          <w:rFonts w:ascii="Arial" w:hAnsi="Arial" w:hint="default"/>
          <w:sz w:val="20"/>
          <w:szCs w:val="20"/>
          <w:rtl w:val="0"/>
          <w:lang w:val="en-US"/>
        </w:rPr>
        <w:t> </w:t>
      </w:r>
      <w:r>
        <w:rPr>
          <w:rFonts w:ascii="Arial" w:hAnsi="Arial"/>
          <w:sz w:val="20"/>
          <w:szCs w:val="20"/>
          <w:rtl w:val="0"/>
          <w:lang w:val="en-US"/>
        </w:rPr>
        <w:t>Daland (</w:t>
      </w:r>
      <w:r>
        <w:rPr>
          <w:rFonts w:ascii="Arial" w:hAnsi="Arial"/>
          <w:i w:val="1"/>
          <w:iCs w:val="1"/>
          <w:sz w:val="20"/>
          <w:szCs w:val="20"/>
          <w:rtl w:val="0"/>
          <w:lang w:val="en-US"/>
        </w:rPr>
        <w:t>Der fliegende Holl</w:t>
      </w:r>
      <w:r>
        <w:rPr>
          <w:rFonts w:ascii="Arial" w:hAnsi="Arial" w:hint="default"/>
          <w:i w:val="1"/>
          <w:iCs w:val="1"/>
          <w:sz w:val="20"/>
          <w:szCs w:val="20"/>
          <w:rtl w:val="0"/>
          <w:lang w:val="en-US"/>
        </w:rPr>
        <w:t>ä</w:t>
      </w:r>
      <w:r>
        <w:rPr>
          <w:rFonts w:ascii="Arial" w:hAnsi="Arial"/>
          <w:i w:val="1"/>
          <w:iCs w:val="1"/>
          <w:sz w:val="20"/>
          <w:szCs w:val="20"/>
          <w:rtl w:val="0"/>
          <w:lang w:val="en-US"/>
        </w:rPr>
        <w:t>nder</w:t>
      </w:r>
      <w:r>
        <w:rPr>
          <w:rFonts w:ascii="Arial" w:hAnsi="Arial"/>
          <w:sz w:val="20"/>
          <w:szCs w:val="20"/>
          <w:rtl w:val="0"/>
          <w:lang w:val="en-US"/>
        </w:rPr>
        <w:t>) at</w:t>
      </w:r>
      <w:r>
        <w:rPr>
          <w:rFonts w:ascii="Arial" w:hAnsi="Arial" w:hint="default"/>
          <w:sz w:val="20"/>
          <w:szCs w:val="20"/>
          <w:rtl w:val="0"/>
          <w:lang w:val="en-US"/>
        </w:rPr>
        <w:t> </w:t>
      </w:r>
      <w:r>
        <w:rPr>
          <w:rFonts w:ascii="Arial" w:hAnsi="Arial"/>
          <w:sz w:val="20"/>
          <w:szCs w:val="20"/>
          <w:rtl w:val="0"/>
          <w:lang w:val="en-US"/>
        </w:rPr>
        <w:t>Bayerische Staatsoper and K</w:t>
      </w:r>
      <w:r>
        <w:rPr>
          <w:rFonts w:ascii="Arial" w:hAnsi="Arial" w:hint="default"/>
          <w:sz w:val="20"/>
          <w:szCs w:val="20"/>
          <w:rtl w:val="0"/>
          <w:lang w:val="en-US"/>
        </w:rPr>
        <w:t>ö</w:t>
      </w:r>
      <w:r>
        <w:rPr>
          <w:rFonts w:ascii="Arial" w:hAnsi="Arial"/>
          <w:sz w:val="20"/>
          <w:szCs w:val="20"/>
          <w:rtl w:val="0"/>
          <w:lang w:val="en-US"/>
        </w:rPr>
        <w:t>nig Marke (</w:t>
      </w:r>
      <w:r>
        <w:rPr>
          <w:rFonts w:ascii="Arial" w:hAnsi="Arial"/>
          <w:i w:val="1"/>
          <w:iCs w:val="1"/>
          <w:sz w:val="20"/>
          <w:szCs w:val="20"/>
          <w:rtl w:val="0"/>
          <w:lang w:val="en-US"/>
        </w:rPr>
        <w:t>Tristan und Isolde</w:t>
      </w:r>
      <w:r>
        <w:rPr>
          <w:rFonts w:ascii="Arial" w:hAnsi="Arial"/>
          <w:sz w:val="20"/>
          <w:szCs w:val="20"/>
          <w:rtl w:val="0"/>
          <w:lang w:val="en-US"/>
        </w:rPr>
        <w:t>) at the Staatsoper Unter den Linden under the baton of Daniel Barenboim.</w:t>
      </w:r>
      <w:r>
        <w:rPr>
          <w:rFonts w:ascii="Arial" w:hAnsi="Arial" w:hint="default"/>
          <w:sz w:val="20"/>
          <w:szCs w:val="20"/>
          <w:rtl w:val="0"/>
          <w:lang w:val="en-US"/>
        </w:rPr>
        <w:t xml:space="preserve">  </w:t>
      </w:r>
      <w:r>
        <w:rPr>
          <w:rFonts w:ascii="Arial" w:hAnsi="Arial"/>
          <w:sz w:val="20"/>
          <w:szCs w:val="20"/>
          <w:rtl w:val="0"/>
          <w:lang w:val="en-US"/>
        </w:rPr>
        <w:t>He has performed the role of Gurnemanz (</w:t>
      </w:r>
      <w:r>
        <w:rPr>
          <w:rFonts w:ascii="Arial" w:hAnsi="Arial"/>
          <w:i w:val="1"/>
          <w:iCs w:val="1"/>
          <w:sz w:val="20"/>
          <w:szCs w:val="20"/>
          <w:rtl w:val="0"/>
          <w:lang w:val="en-US"/>
        </w:rPr>
        <w:t>Parsifal)</w:t>
      </w:r>
      <w:r>
        <w:rPr>
          <w:rFonts w:ascii="Arial" w:hAnsi="Arial"/>
          <w:sz w:val="20"/>
          <w:szCs w:val="20"/>
          <w:rtl w:val="0"/>
          <w:lang w:val="en-US"/>
        </w:rPr>
        <w:t xml:space="preserve"> at both Wiener Staatsoper under Sir Simon Rattle and at Osterfestspiele Salzburg under Christian Thielemann, as well as being immortalised in the role on DVD for Deutsche Grammophon.</w:t>
      </w:r>
      <w:r>
        <w:rPr>
          <w:rFonts w:ascii="Arial" w:hAnsi="Arial" w:hint="default"/>
          <w:sz w:val="20"/>
          <w:szCs w:val="20"/>
          <w:rtl w:val="0"/>
          <w:lang w:val="en-US"/>
        </w:rPr>
        <w:t xml:space="preserve">  </w:t>
      </w:r>
      <w:r>
        <w:rPr>
          <w:rFonts w:ascii="Arial" w:hAnsi="Arial"/>
          <w:sz w:val="20"/>
          <w:szCs w:val="20"/>
          <w:rtl w:val="0"/>
          <w:lang w:val="en-US"/>
        </w:rPr>
        <w:t>As a regular guest on the stage of the Royal Opera House, Covent Garden, other recent performances in collaboration with Sir Antonio Pappano include Landgraf Hermann (</w:t>
      </w:r>
      <w:r>
        <w:rPr>
          <w:rFonts w:ascii="Arial" w:hAnsi="Arial"/>
          <w:i w:val="1"/>
          <w:iCs w:val="1"/>
          <w:sz w:val="20"/>
          <w:szCs w:val="20"/>
          <w:rtl w:val="0"/>
          <w:lang w:val="en-US"/>
        </w:rPr>
        <w:t>Tannh</w:t>
      </w:r>
      <w:r>
        <w:rPr>
          <w:rFonts w:ascii="Arial" w:hAnsi="Arial" w:hint="default"/>
          <w:i w:val="1"/>
          <w:iCs w:val="1"/>
          <w:sz w:val="20"/>
          <w:szCs w:val="20"/>
          <w:rtl w:val="0"/>
          <w:lang w:val="en-US"/>
        </w:rPr>
        <w:t>ä</w:t>
      </w:r>
      <w:r>
        <w:rPr>
          <w:rFonts w:ascii="Arial" w:hAnsi="Arial"/>
          <w:i w:val="1"/>
          <w:iCs w:val="1"/>
          <w:sz w:val="20"/>
          <w:szCs w:val="20"/>
          <w:rtl w:val="0"/>
          <w:lang w:val="en-US"/>
        </w:rPr>
        <w:t>user</w:t>
      </w:r>
      <w:r>
        <w:rPr>
          <w:rFonts w:ascii="Arial" w:hAnsi="Arial"/>
          <w:sz w:val="20"/>
          <w:szCs w:val="20"/>
          <w:rtl w:val="0"/>
          <w:lang w:val="en-US"/>
        </w:rPr>
        <w:t>) and Pogner (</w:t>
      </w:r>
      <w:r>
        <w:rPr>
          <w:rFonts w:ascii="Arial" w:hAnsi="Arial"/>
          <w:i w:val="1"/>
          <w:iCs w:val="1"/>
          <w:sz w:val="20"/>
          <w:szCs w:val="20"/>
          <w:rtl w:val="0"/>
          <w:lang w:val="en-US"/>
        </w:rPr>
        <w:t>Die Meistersinger von N</w:t>
      </w:r>
      <w:r>
        <w:rPr>
          <w:rFonts w:ascii="Arial" w:hAnsi="Arial" w:hint="default"/>
          <w:i w:val="1"/>
          <w:iCs w:val="1"/>
          <w:sz w:val="20"/>
          <w:szCs w:val="20"/>
          <w:rtl w:val="0"/>
          <w:lang w:val="en-US"/>
        </w:rPr>
        <w:t>ü</w:t>
      </w:r>
      <w:r>
        <w:rPr>
          <w:rFonts w:ascii="Arial" w:hAnsi="Arial"/>
          <w:i w:val="1"/>
          <w:iCs w:val="1"/>
          <w:sz w:val="20"/>
          <w:szCs w:val="20"/>
          <w:rtl w:val="0"/>
          <w:lang w:val="en-US"/>
        </w:rPr>
        <w:t>rnberg</w:t>
      </w:r>
      <w:r>
        <w:rPr>
          <w:rFonts w:ascii="Arial" w:hAnsi="Arial"/>
          <w:sz w:val="20"/>
          <w:szCs w:val="20"/>
          <w:rtl w:val="0"/>
          <w:lang w:val="en-US"/>
        </w:rPr>
        <w:t>).</w:t>
      </w:r>
      <w:r>
        <w:rPr>
          <w:rFonts w:ascii="Arial" w:hAnsi="Arial" w:hint="default"/>
          <w:sz w:val="20"/>
          <w:szCs w:val="20"/>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In the 2019/20 season Milling returns to Dutch National Opera as Hunding under Marc Albrecht and to the Bayreuth Festival as Hermann.</w:t>
      </w:r>
      <w:r>
        <w:rPr>
          <w:rFonts w:ascii="Arial" w:hAnsi="Arial" w:hint="default"/>
          <w:sz w:val="20"/>
          <w:szCs w:val="20"/>
          <w:rtl w:val="0"/>
          <w:lang w:val="en-US"/>
        </w:rPr>
        <w:t xml:space="preserve">  </w:t>
      </w:r>
      <w:r>
        <w:rPr>
          <w:rFonts w:ascii="Arial" w:hAnsi="Arial"/>
          <w:sz w:val="20"/>
          <w:szCs w:val="20"/>
          <w:rtl w:val="0"/>
          <w:lang w:val="en-US"/>
        </w:rPr>
        <w:t xml:space="preserve">At home in Denmark he sings Act I of </w:t>
      </w:r>
      <w:r>
        <w:rPr>
          <w:rFonts w:ascii="Arial" w:hAnsi="Arial"/>
          <w:i w:val="1"/>
          <w:iCs w:val="1"/>
          <w:sz w:val="20"/>
          <w:szCs w:val="20"/>
          <w:rtl w:val="0"/>
          <w:lang w:val="en-US"/>
        </w:rPr>
        <w:t>Die Walk</w:t>
      </w:r>
      <w:r>
        <w:rPr>
          <w:rFonts w:ascii="Arial" w:hAnsi="Arial" w:hint="default"/>
          <w:i w:val="1"/>
          <w:iCs w:val="1"/>
          <w:sz w:val="20"/>
          <w:szCs w:val="20"/>
          <w:rtl w:val="0"/>
          <w:lang w:val="en-US"/>
        </w:rPr>
        <w:t>ü</w:t>
      </w:r>
      <w:r>
        <w:rPr>
          <w:rFonts w:ascii="Arial" w:hAnsi="Arial"/>
          <w:i w:val="1"/>
          <w:iCs w:val="1"/>
          <w:sz w:val="20"/>
          <w:szCs w:val="20"/>
          <w:rtl w:val="0"/>
          <w:lang w:val="en-US"/>
        </w:rPr>
        <w:t>re</w:t>
      </w:r>
      <w:r>
        <w:rPr>
          <w:rFonts w:ascii="Arial" w:hAnsi="Arial"/>
          <w:sz w:val="20"/>
          <w:szCs w:val="20"/>
          <w:rtl w:val="0"/>
          <w:lang w:val="en-US"/>
        </w:rPr>
        <w:t xml:space="preserve"> in concert with the Danish National Symphony Orchestra under Fabio Luisi and in the USA he appears as both Hunding and Hagen in the Lyric Opera of Chicago</w:t>
      </w:r>
      <w:r>
        <w:rPr>
          <w:rFonts w:ascii="Arial" w:hAnsi="Arial" w:hint="default"/>
          <w:sz w:val="20"/>
          <w:szCs w:val="20"/>
          <w:rtl w:val="0"/>
          <w:lang w:val="en-US"/>
        </w:rPr>
        <w:t>’</w:t>
      </w:r>
      <w:r>
        <w:rPr>
          <w:rFonts w:ascii="Arial" w:hAnsi="Arial"/>
          <w:sz w:val="20"/>
          <w:szCs w:val="20"/>
          <w:rtl w:val="0"/>
          <w:lang w:val="en-US"/>
        </w:rPr>
        <w:t>s new Ring Cycle under the baton of Sir Andrew Davis.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Keen to maintain a broad and diverse repertoire, Stephen Milling's other roles feature</w:t>
      </w:r>
      <w:r>
        <w:rPr>
          <w:rFonts w:ascii="Arial" w:hAnsi="Arial" w:hint="default"/>
          <w:sz w:val="20"/>
          <w:szCs w:val="20"/>
          <w:rtl w:val="0"/>
          <w:lang w:val="en-US"/>
        </w:rPr>
        <w:t> </w:t>
      </w:r>
      <w:r>
        <w:rPr>
          <w:rFonts w:ascii="Arial" w:hAnsi="Arial"/>
          <w:sz w:val="20"/>
          <w:szCs w:val="20"/>
          <w:rtl w:val="0"/>
          <w:lang w:val="en-US"/>
        </w:rPr>
        <w:t>Philip II (</w:t>
      </w:r>
      <w:r>
        <w:rPr>
          <w:rFonts w:ascii="Arial" w:hAnsi="Arial"/>
          <w:i w:val="1"/>
          <w:iCs w:val="1"/>
          <w:sz w:val="20"/>
          <w:szCs w:val="20"/>
          <w:rtl w:val="0"/>
          <w:lang w:val="en-US"/>
        </w:rPr>
        <w:t>Don Carlos</w:t>
      </w:r>
      <w:r>
        <w:rPr>
          <w:rFonts w:ascii="Arial" w:hAnsi="Arial"/>
          <w:sz w:val="20"/>
          <w:szCs w:val="20"/>
          <w:rtl w:val="0"/>
          <w:lang w:val="en-US"/>
        </w:rPr>
        <w:t>) at San Francisco Opera, Rocco (</w:t>
      </w:r>
      <w:r>
        <w:rPr>
          <w:rFonts w:ascii="Arial" w:hAnsi="Arial"/>
          <w:i w:val="1"/>
          <w:iCs w:val="1"/>
          <w:sz w:val="20"/>
          <w:szCs w:val="20"/>
          <w:rtl w:val="0"/>
          <w:lang w:val="en-US"/>
        </w:rPr>
        <w:t>Fidelio</w:t>
      </w:r>
      <w:r>
        <w:rPr>
          <w:rFonts w:ascii="Arial" w:hAnsi="Arial"/>
          <w:sz w:val="20"/>
          <w:szCs w:val="20"/>
          <w:rtl w:val="0"/>
          <w:lang w:val="en-US"/>
        </w:rPr>
        <w:t>) at</w:t>
      </w:r>
      <w:r>
        <w:rPr>
          <w:rFonts w:ascii="Arial" w:hAnsi="Arial" w:hint="default"/>
          <w:sz w:val="20"/>
          <w:szCs w:val="20"/>
          <w:rtl w:val="0"/>
          <w:lang w:val="en-US"/>
        </w:rPr>
        <w:t> </w:t>
      </w:r>
      <w:r>
        <w:rPr>
          <w:rFonts w:ascii="Arial" w:hAnsi="Arial"/>
          <w:sz w:val="20"/>
          <w:szCs w:val="20"/>
          <w:rtl w:val="0"/>
          <w:lang w:val="en-US"/>
        </w:rPr>
        <w:t>Teatro alla Scala and Gran Teatre del Liceu, Padre Guardiano (</w:t>
      </w:r>
      <w:r>
        <w:rPr>
          <w:rFonts w:ascii="Arial" w:hAnsi="Arial"/>
          <w:i w:val="1"/>
          <w:iCs w:val="1"/>
          <w:sz w:val="20"/>
          <w:szCs w:val="20"/>
          <w:rtl w:val="0"/>
          <w:lang w:val="en-US"/>
        </w:rPr>
        <w:t>La forza del destino</w:t>
      </w:r>
      <w:r>
        <w:rPr>
          <w:rFonts w:ascii="Arial" w:hAnsi="Arial"/>
          <w:sz w:val="20"/>
          <w:szCs w:val="20"/>
          <w:rtl w:val="0"/>
          <w:lang w:val="en-US"/>
        </w:rPr>
        <w:t>) at Semperoper Dresden and Palau de les Artes Reina Sofia in Valencia, Kaija Saariaho</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 xml:space="preserve">Adriana Mater </w:t>
      </w:r>
      <w:r>
        <w:rPr>
          <w:rFonts w:ascii="Arial" w:hAnsi="Arial"/>
          <w:sz w:val="20"/>
          <w:szCs w:val="20"/>
          <w:rtl w:val="0"/>
          <w:lang w:val="en-US"/>
        </w:rPr>
        <w:t>at Op</w:t>
      </w:r>
      <w:r>
        <w:rPr>
          <w:rFonts w:ascii="Arial" w:hAnsi="Arial" w:hint="default"/>
          <w:sz w:val="20"/>
          <w:szCs w:val="20"/>
          <w:rtl w:val="0"/>
          <w:lang w:val="en-US"/>
        </w:rPr>
        <w:t>é</w:t>
      </w:r>
      <w:r>
        <w:rPr>
          <w:rFonts w:ascii="Arial" w:hAnsi="Arial"/>
          <w:sz w:val="20"/>
          <w:szCs w:val="20"/>
          <w:rtl w:val="0"/>
          <w:lang w:val="en-US"/>
        </w:rPr>
        <w:t>ra national de Paris,</w:t>
      </w:r>
      <w:r>
        <w:rPr>
          <w:rFonts w:ascii="Arial" w:hAnsi="Arial" w:hint="default"/>
          <w:sz w:val="20"/>
          <w:szCs w:val="20"/>
          <w:rtl w:val="0"/>
          <w:lang w:val="en-US"/>
        </w:rPr>
        <w:t> </w:t>
      </w:r>
      <w:r>
        <w:rPr>
          <w:rFonts w:ascii="Arial" w:hAnsi="Arial"/>
          <w:sz w:val="20"/>
          <w:szCs w:val="20"/>
          <w:rtl w:val="0"/>
          <w:lang w:val="en-US"/>
        </w:rPr>
        <w:t>Sparafucile (</w:t>
      </w:r>
      <w:r>
        <w:rPr>
          <w:rFonts w:ascii="Arial" w:hAnsi="Arial"/>
          <w:i w:val="1"/>
          <w:iCs w:val="1"/>
          <w:sz w:val="20"/>
          <w:szCs w:val="20"/>
          <w:rtl w:val="0"/>
          <w:lang w:val="en-US"/>
        </w:rPr>
        <w:t>Rigoletto)</w:t>
      </w:r>
      <w:r>
        <w:rPr>
          <w:rFonts w:ascii="Arial" w:hAnsi="Arial"/>
          <w:sz w:val="20"/>
          <w:szCs w:val="20"/>
          <w:rtl w:val="0"/>
          <w:lang w:val="en-US"/>
        </w:rPr>
        <w:t xml:space="preserve"> at The Met, and</w:t>
      </w:r>
      <w:r>
        <w:rPr>
          <w:rFonts w:ascii="Arial" w:hAnsi="Arial"/>
          <w:i w:val="1"/>
          <w:iCs w:val="1"/>
          <w:sz w:val="20"/>
          <w:szCs w:val="20"/>
          <w:rtl w:val="0"/>
          <w:lang w:val="en-US"/>
        </w:rPr>
        <w:t xml:space="preserve"> Sarastro</w:t>
      </w:r>
      <w:r>
        <w:rPr>
          <w:rFonts w:ascii="Arial" w:hAnsi="Arial"/>
          <w:sz w:val="20"/>
          <w:szCs w:val="20"/>
          <w:rtl w:val="0"/>
          <w:lang w:val="en-US"/>
        </w:rPr>
        <w:t xml:space="preserve"> </w:t>
      </w:r>
      <w:r>
        <w:rPr>
          <w:rFonts w:ascii="Arial" w:hAnsi="Arial"/>
          <w:i w:val="1"/>
          <w:iCs w:val="1"/>
          <w:sz w:val="20"/>
          <w:szCs w:val="20"/>
          <w:rtl w:val="0"/>
          <w:lang w:val="en-US"/>
        </w:rPr>
        <w:t>(Die Zauberfl</w:t>
      </w:r>
      <w:r>
        <w:rPr>
          <w:rFonts w:ascii="Arial" w:hAnsi="Arial" w:hint="default"/>
          <w:i w:val="1"/>
          <w:iCs w:val="1"/>
          <w:sz w:val="20"/>
          <w:szCs w:val="20"/>
          <w:rtl w:val="0"/>
          <w:lang w:val="en-US"/>
        </w:rPr>
        <w:t>ö</w:t>
      </w:r>
      <w:r>
        <w:rPr>
          <w:rFonts w:ascii="Arial" w:hAnsi="Arial"/>
          <w:i w:val="1"/>
          <w:iCs w:val="1"/>
          <w:sz w:val="20"/>
          <w:szCs w:val="20"/>
          <w:rtl w:val="0"/>
          <w:lang w:val="en-US"/>
        </w:rPr>
        <w:t xml:space="preserve">te) </w:t>
      </w:r>
      <w:r>
        <w:rPr>
          <w:rFonts w:ascii="Arial" w:hAnsi="Arial"/>
          <w:sz w:val="20"/>
          <w:szCs w:val="20"/>
          <w:rtl w:val="0"/>
          <w:lang w:val="en-US"/>
        </w:rPr>
        <w:t>at Royal Opera House, Covent Garden, Bayerische Staatsoper and Wiener Staatsoper.</w:t>
      </w:r>
    </w:p>
    <w:p>
      <w:pPr>
        <w:pStyle w:val="Normal.0"/>
      </w:pPr>
      <w:r>
        <w:rPr>
          <w:rFonts w:ascii="Arial" w:hAnsi="Arial" w:hint="default"/>
          <w:sz w:val="20"/>
          <w:szCs w:val="20"/>
          <w:rtl w:val="0"/>
          <w:lang w:val="en-US"/>
        </w:rPr>
        <w:t> </w:t>
      </w:r>
    </w:p>
    <w:p>
      <w:pPr>
        <w:pStyle w:val="Normal.0"/>
        <w:rPr>
          <w:rFonts w:ascii="Calibri" w:cs="Calibri" w:hAnsi="Calibri" w:eastAsia="Calibri"/>
          <w:sz w:val="22"/>
          <w:szCs w:val="22"/>
        </w:rPr>
      </w:pPr>
      <w:r>
        <w:rPr>
          <w:rFonts w:ascii="Arial" w:hAnsi="Arial"/>
          <w:color w:val="000000"/>
          <w:sz w:val="20"/>
          <w:szCs w:val="20"/>
          <w:u w:color="000000"/>
          <w:rtl w:val="0"/>
          <w:lang w:val="en-US"/>
        </w:rPr>
        <w:t>Trained at the Royal Danish Academy of Music, Stephen Milling joined the Royal Danish Opera</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in 1994 where he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debuted a</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number of</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roles now central to his repertoire and recent guest appearances in Copenhagen include Daland and Sarastro. International debuts at Teatro alla Scala as Don Fernando (</w:t>
      </w:r>
      <w:r>
        <w:rPr>
          <w:rFonts w:ascii="Arial" w:hAnsi="Arial"/>
          <w:i w:val="1"/>
          <w:iCs w:val="1"/>
          <w:color w:val="000000"/>
          <w:sz w:val="20"/>
          <w:szCs w:val="20"/>
          <w:u w:color="000000"/>
          <w:rtl w:val="0"/>
          <w:lang w:val="en-US"/>
        </w:rPr>
        <w:t>Fidelio)</w:t>
      </w:r>
      <w:r>
        <w:rPr>
          <w:rFonts w:ascii="Arial" w:hAnsi="Arial" w:hint="default"/>
          <w:i w:val="1"/>
          <w:iCs w:val="1"/>
          <w:color w:val="000000"/>
          <w:sz w:val="20"/>
          <w:szCs w:val="20"/>
          <w:u w:color="000000"/>
          <w:rtl w:val="0"/>
          <w:lang w:val="en-US"/>
        </w:rPr>
        <w:t> </w:t>
      </w:r>
      <w:r>
        <w:rPr>
          <w:rFonts w:ascii="Arial" w:hAnsi="Arial"/>
          <w:color w:val="000000"/>
          <w:sz w:val="20"/>
          <w:szCs w:val="20"/>
          <w:u w:color="000000"/>
          <w:rtl w:val="0"/>
          <w:lang w:val="en-US"/>
        </w:rPr>
        <w:t>and as both Fasolt and Hunding in</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Seattle Opera</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s </w:t>
      </w:r>
      <w:r>
        <w:rPr>
          <w:rFonts w:ascii="Arial" w:hAnsi="Arial"/>
          <w:i w:val="1"/>
          <w:iCs w:val="1"/>
          <w:color w:val="000000"/>
          <w:sz w:val="20"/>
          <w:szCs w:val="20"/>
          <w:u w:color="000000"/>
          <w:rtl w:val="0"/>
          <w:lang w:val="en-US"/>
        </w:rPr>
        <w:t>Ring Cycle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paved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an early way to today</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thriving global career.</w:t>
      </w:r>
      <w:r>
        <w:rPr>
          <w:rtl w:val="0"/>
        </w:rPr>
        <w:t xml:space="preserve">  </w:t>
      </w:r>
    </w:p>
    <w:p>
      <w:pPr>
        <w:pStyle w:val="Normal.0"/>
        <w:rPr>
          <w:rFonts w:ascii="Arial" w:cs="Arial" w:hAnsi="Arial" w:eastAsia="Arial"/>
          <w:sz w:val="20"/>
          <w:szCs w:val="20"/>
        </w:rPr>
      </w:pPr>
    </w:p>
    <w:p>
      <w:pPr>
        <w:pStyle w:val="Normal.0"/>
      </w:pPr>
      <w:r>
        <w:rPr>
          <w:rFonts w:ascii="Arial" w:hAnsi="Arial"/>
          <w:sz w:val="20"/>
          <w:szCs w:val="20"/>
          <w:rtl w:val="0"/>
          <w:lang w:val="en-US"/>
        </w:rPr>
        <w:t>Stephen Milling made his debut with Berliner Philharmoniker in Verdi</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Messa da Requiem</w:t>
      </w:r>
      <w:r>
        <w:rPr>
          <w:rFonts w:ascii="Arial" w:hAnsi="Arial"/>
          <w:sz w:val="20"/>
          <w:szCs w:val="20"/>
          <w:rtl w:val="0"/>
          <w:lang w:val="en-US"/>
        </w:rPr>
        <w:t xml:space="preserve"> under Mariss Jansons, and features on several</w:t>
      </w:r>
      <w:r>
        <w:rPr>
          <w:rFonts w:ascii="Arial" w:hAnsi="Arial" w:hint="default"/>
          <w:sz w:val="20"/>
          <w:szCs w:val="20"/>
          <w:rtl w:val="0"/>
          <w:lang w:val="en-US"/>
        </w:rPr>
        <w:t> </w:t>
      </w:r>
      <w:r>
        <w:rPr>
          <w:rFonts w:ascii="Arial" w:hAnsi="Arial"/>
          <w:sz w:val="20"/>
          <w:szCs w:val="20"/>
          <w:rtl w:val="0"/>
          <w:lang w:val="en-US"/>
        </w:rPr>
        <w:t xml:space="preserve">CDs including </w:t>
      </w:r>
      <w:r>
        <w:rPr>
          <w:rFonts w:ascii="Arial" w:hAnsi="Arial"/>
          <w:i w:val="1"/>
          <w:iCs w:val="1"/>
          <w:sz w:val="20"/>
          <w:szCs w:val="20"/>
          <w:rtl w:val="0"/>
          <w:lang w:val="en-US"/>
        </w:rPr>
        <w:t>Les Troyens</w:t>
      </w:r>
      <w:r>
        <w:rPr>
          <w:rFonts w:ascii="Arial" w:hAnsi="Arial"/>
          <w:sz w:val="20"/>
          <w:szCs w:val="20"/>
          <w:rtl w:val="0"/>
          <w:lang w:val="en-US"/>
        </w:rPr>
        <w:t xml:space="preserve"> with London Symphony Orchestra (Sir Colin Davis). On DVD he stars in</w:t>
      </w:r>
      <w:r>
        <w:rPr>
          <w:rFonts w:ascii="Arial" w:hAnsi="Arial"/>
          <w:i w:val="1"/>
          <w:iCs w:val="1"/>
          <w:sz w:val="20"/>
          <w:szCs w:val="20"/>
          <w:rtl w:val="0"/>
          <w:lang w:val="en-US"/>
        </w:rPr>
        <w:t xml:space="preserve"> Der Ring des Nibelungen</w:t>
      </w:r>
      <w:r>
        <w:rPr>
          <w:rFonts w:ascii="Arial" w:hAnsi="Arial"/>
          <w:sz w:val="20"/>
          <w:szCs w:val="20"/>
          <w:rtl w:val="0"/>
          <w:lang w:val="en-US"/>
        </w:rPr>
        <w:t xml:space="preserve"> staged by La Fura dels Baus in Valencia, in three collaborations with Kasper Holten at the Royal Danish Opera: </w:t>
      </w:r>
      <w:r>
        <w:rPr>
          <w:rFonts w:ascii="Arial" w:hAnsi="Arial"/>
          <w:i w:val="1"/>
          <w:iCs w:val="1"/>
          <w:sz w:val="20"/>
          <w:szCs w:val="20"/>
          <w:rtl w:val="0"/>
          <w:lang w:val="en-US"/>
        </w:rPr>
        <w:t>The Copenhagen Ring</w:t>
      </w:r>
      <w:r>
        <w:rPr>
          <w:rFonts w:ascii="Arial" w:hAnsi="Arial"/>
          <w:sz w:val="20"/>
          <w:szCs w:val="20"/>
          <w:rtl w:val="0"/>
          <w:lang w:val="en-US"/>
        </w:rPr>
        <w:t xml:space="preserve">, </w:t>
      </w:r>
      <w:r>
        <w:rPr>
          <w:rFonts w:ascii="Arial" w:hAnsi="Arial"/>
          <w:i w:val="1"/>
          <w:iCs w:val="1"/>
          <w:sz w:val="20"/>
          <w:szCs w:val="20"/>
          <w:rtl w:val="0"/>
          <w:lang w:val="en-US"/>
        </w:rPr>
        <w:t>Tannh</w:t>
      </w:r>
      <w:r>
        <w:rPr>
          <w:rFonts w:ascii="Arial" w:hAnsi="Arial" w:hint="default"/>
          <w:i w:val="1"/>
          <w:iCs w:val="1"/>
          <w:sz w:val="20"/>
          <w:szCs w:val="20"/>
          <w:rtl w:val="0"/>
          <w:lang w:val="en-US"/>
        </w:rPr>
        <w:t>ä</w:t>
      </w:r>
      <w:r>
        <w:rPr>
          <w:rFonts w:ascii="Arial" w:hAnsi="Arial"/>
          <w:i w:val="1"/>
          <w:iCs w:val="1"/>
          <w:sz w:val="20"/>
          <w:szCs w:val="20"/>
          <w:rtl w:val="0"/>
          <w:lang w:val="en-US"/>
        </w:rPr>
        <w:t>user,</w:t>
      </w:r>
      <w:r>
        <w:rPr>
          <w:rFonts w:ascii="Arial" w:hAnsi="Arial"/>
          <w:sz w:val="20"/>
          <w:szCs w:val="20"/>
          <w:rtl w:val="0"/>
          <w:lang w:val="en-US"/>
        </w:rPr>
        <w:t xml:space="preserve"> </w:t>
      </w:r>
      <w:r>
        <w:rPr>
          <w:rFonts w:ascii="Arial" w:hAnsi="Arial"/>
          <w:i w:val="1"/>
          <w:iCs w:val="1"/>
          <w:sz w:val="20"/>
          <w:szCs w:val="20"/>
          <w:rtl w:val="0"/>
          <w:lang w:val="en-US"/>
        </w:rPr>
        <w:t xml:space="preserve">Maskarade; </w:t>
      </w:r>
      <w:r>
        <w:rPr>
          <w:rFonts w:ascii="Arial" w:hAnsi="Arial"/>
          <w:sz w:val="20"/>
          <w:szCs w:val="20"/>
          <w:rtl w:val="0"/>
          <w:lang w:val="en-US"/>
        </w:rPr>
        <w:t xml:space="preserve">and most recently in </w:t>
      </w:r>
      <w:r>
        <w:rPr>
          <w:rFonts w:ascii="Arial" w:hAnsi="Arial"/>
          <w:i w:val="1"/>
          <w:iCs w:val="1"/>
          <w:sz w:val="20"/>
          <w:szCs w:val="20"/>
          <w:rtl w:val="0"/>
          <w:lang w:val="en-US"/>
        </w:rPr>
        <w:t>Der Freisch</w:t>
      </w:r>
      <w:r>
        <w:rPr>
          <w:rFonts w:ascii="Arial" w:hAnsi="Arial" w:hint="default"/>
          <w:i w:val="1"/>
          <w:iCs w:val="1"/>
          <w:sz w:val="20"/>
          <w:szCs w:val="20"/>
          <w:rtl w:val="0"/>
          <w:lang w:val="en-US"/>
        </w:rPr>
        <w:t>ü</w:t>
      </w:r>
      <w:r>
        <w:rPr>
          <w:rFonts w:ascii="Arial" w:hAnsi="Arial"/>
          <w:i w:val="1"/>
          <w:iCs w:val="1"/>
          <w:sz w:val="20"/>
          <w:szCs w:val="20"/>
          <w:rtl w:val="0"/>
          <w:lang w:val="en-US"/>
        </w:rPr>
        <w:t>tz</w:t>
      </w:r>
      <w:r>
        <w:rPr>
          <w:rFonts w:ascii="Arial" w:hAnsi="Arial"/>
          <w:sz w:val="20"/>
          <w:szCs w:val="20"/>
          <w:rtl w:val="0"/>
          <w:lang w:val="en-US"/>
        </w:rPr>
        <w:t xml:space="preserve"> at Teatro alla Scala.</w:t>
      </w:r>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